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67019">
        <w:rPr>
          <w:rFonts w:ascii="Times New Roman" w:hAnsi="Times New Roman" w:cs="Times New Roman"/>
          <w:sz w:val="20"/>
          <w:szCs w:val="20"/>
        </w:rPr>
        <w:t>Международная научно-</w:t>
      </w:r>
      <w:r w:rsidR="00D13377" w:rsidRPr="00D13377">
        <w:rPr>
          <w:rFonts w:ascii="Times New Roman" w:hAnsi="Times New Roman" w:cs="Times New Roman"/>
          <w:sz w:val="20"/>
          <w:szCs w:val="20"/>
        </w:rPr>
        <w:t>практическая конференция</w:t>
      </w:r>
    </w:p>
    <w:p w:rsidR="00D13377" w:rsidRPr="007C137C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теоретические и практические аспекты развития науки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4153B4">
        <w:rPr>
          <w:rFonts w:ascii="Times New Roman" w:hAnsi="Times New Roman" w:cs="Times New Roman"/>
          <w:b/>
          <w:color w:val="FF0000"/>
          <w:sz w:val="24"/>
          <w:szCs w:val="24"/>
        </w:rPr>
        <w:t>1 июл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я 2017г.,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2B5EC4">
        <w:rPr>
          <w:rFonts w:ascii="Times New Roman" w:hAnsi="Times New Roman" w:cs="Times New Roman"/>
          <w:b/>
          <w:color w:val="FF0000"/>
          <w:sz w:val="18"/>
          <w:szCs w:val="18"/>
        </w:rPr>
        <w:t>ии НК-13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 xml:space="preserve">, а также разослан авторам заказными бандеролями посредством почтовых служб. В течение 30 дней после проведения конференции сборник будет постатейно размещен в </w:t>
      </w:r>
      <w:proofErr w:type="spellStart"/>
      <w:r w:rsidRPr="00304ECE">
        <w:rPr>
          <w:rFonts w:ascii="Times New Roman" w:hAnsi="Times New Roman" w:cs="Times New Roman"/>
          <w:sz w:val="18"/>
          <w:szCs w:val="18"/>
        </w:rPr>
        <w:t>наукометрической</w:t>
      </w:r>
      <w:proofErr w:type="spellEnd"/>
      <w:r w:rsidRPr="00304ECE">
        <w:rPr>
          <w:rFonts w:ascii="Times New Roman" w:hAnsi="Times New Roman" w:cs="Times New Roman"/>
          <w:sz w:val="18"/>
          <w:szCs w:val="18"/>
        </w:rPr>
        <w:t xml:space="preserve"> базе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РИНЦ,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2B5EC4">
        <w:rPr>
          <w:rFonts w:ascii="Times New Roman" w:hAnsi="Times New Roman" w:cs="Times New Roman"/>
          <w:b/>
          <w:color w:val="FF0000"/>
          <w:sz w:val="18"/>
          <w:szCs w:val="18"/>
        </w:rPr>
        <w:t>1 июля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2017г.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9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2B5EC4">
        <w:rPr>
          <w:rFonts w:ascii="Times New Roman" w:hAnsi="Times New Roman" w:cs="Times New Roman"/>
          <w:b/>
          <w:color w:val="FF0000"/>
          <w:sz w:val="18"/>
          <w:szCs w:val="18"/>
        </w:rPr>
        <w:t>НК-13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+</w:t>
      </w:r>
      <w:r>
        <w:rPr>
          <w:rFonts w:ascii="Times New Roman" w:hAnsi="Times New Roman" w:cs="Times New Roman"/>
          <w:sz w:val="18"/>
          <w:szCs w:val="18"/>
        </w:rPr>
        <w:t>79021824906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представлена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EF3360">
        <w:rPr>
          <w:rFonts w:ascii="Times New Roman" w:eastAsia="Calibri" w:hAnsi="Times New Roman" w:cs="Times New Roman"/>
          <w:sz w:val="18"/>
          <w:szCs w:val="18"/>
        </w:rPr>
        <w:t>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АО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>Кор счет</w:t>
      </w:r>
      <w:proofErr w:type="gramEnd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1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Направление/Секция (см раздел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2B5EC4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НК-13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</w:t>
      </w:r>
      <w:proofErr w:type="gramStart"/>
      <w:r w:rsidRPr="00013424">
        <w:rPr>
          <w:rFonts w:ascii="Times New Roman" w:eastAsia="Times New Roman" w:hAnsi="Times New Roman" w:cs="Times New Roman"/>
          <w:sz w:val="16"/>
          <w:szCs w:val="16"/>
        </w:rPr>
        <w:t>4</w:t>
      </w:r>
      <w:proofErr w:type="gramEnd"/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proofErr w:type="gram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, межстрочный интервал – полуторный.</w:t>
      </w:r>
      <w:proofErr w:type="gramEnd"/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2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</w:t>
      </w:r>
      <w:proofErr w:type="gramStart"/>
      <w:r w:rsidR="001D1331" w:rsidRPr="00013424">
        <w:rPr>
          <w:rFonts w:ascii="Times New Roman" w:eastAsia="Calibri" w:hAnsi="Times New Roman" w:cs="Times New Roman"/>
          <w:sz w:val="16"/>
          <w:szCs w:val="16"/>
        </w:rPr>
        <w:t>р(</w:t>
      </w:r>
      <w:proofErr w:type="gramEnd"/>
      <w:r w:rsidR="001D1331" w:rsidRPr="00013424">
        <w:rPr>
          <w:rFonts w:ascii="Times New Roman" w:eastAsia="Calibri" w:hAnsi="Times New Roman" w:cs="Times New Roman"/>
          <w:sz w:val="16"/>
          <w:szCs w:val="16"/>
        </w:rPr>
        <w:t>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</w:t>
      </w:r>
      <w:proofErr w:type="gramStart"/>
      <w:r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(©), </w:t>
      </w:r>
      <w:proofErr w:type="gramEnd"/>
      <w:r w:rsidRPr="00013424">
        <w:rPr>
          <w:rFonts w:ascii="Times New Roman" w:eastAsia="Calibri" w:hAnsi="Times New Roman" w:cs="Times New Roman"/>
          <w:b/>
          <w:sz w:val="16"/>
          <w:szCs w:val="16"/>
        </w:rPr>
        <w:t>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Pr="00E217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E21724" w:rsidRPr="00013424" w:rsidRDefault="00E21724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почтовые расходы рассчитываются отдельно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</w:t>
            </w:r>
            <w:proofErr w:type="gramStart"/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кст ст</w:t>
            </w:r>
            <w:proofErr w:type="gramEnd"/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9E219C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© И.И. Старков, 2017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3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55" w:rsidRDefault="00724055" w:rsidP="00DE497A">
      <w:pPr>
        <w:spacing w:after="0" w:line="240" w:lineRule="auto"/>
      </w:pPr>
      <w:r>
        <w:separator/>
      </w:r>
    </w:p>
  </w:endnote>
  <w:endnote w:type="continuationSeparator" w:id="0">
    <w:p w:rsidR="00724055" w:rsidRDefault="00724055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A02373" w:rsidRPr="00DF67B3">
      <w:rPr>
        <w:rFonts w:ascii="Times New Roman" w:eastAsiaTheme="majorEastAsia" w:hAnsi="Times New Roman" w:cs="Times New Roman"/>
        <w:b/>
      </w:rPr>
      <w:t>+7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 </w:t>
    </w:r>
    <w:r w:rsidR="00A02373" w:rsidRPr="00DF67B3">
      <w:rPr>
        <w:rFonts w:ascii="Times New Roman" w:eastAsiaTheme="majorEastAsia" w:hAnsi="Times New Roman" w:cs="Times New Roman"/>
        <w:b/>
      </w:rPr>
      <w:t>902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 </w:t>
    </w:r>
    <w:r w:rsidR="00A02373" w:rsidRPr="00DF67B3">
      <w:rPr>
        <w:rFonts w:ascii="Times New Roman" w:eastAsiaTheme="majorEastAsia" w:hAnsi="Times New Roman" w:cs="Times New Roman"/>
        <w:b/>
      </w:rPr>
      <w:t>182 49 06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55" w:rsidRDefault="00724055" w:rsidP="00DE497A">
      <w:pPr>
        <w:spacing w:after="0" w:line="240" w:lineRule="auto"/>
      </w:pPr>
      <w:r>
        <w:separator/>
      </w:r>
    </w:p>
  </w:footnote>
  <w:footnote w:type="continuationSeparator" w:id="0">
    <w:p w:rsidR="00724055" w:rsidRDefault="00724055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533D9"/>
    <w:rsid w:val="00083609"/>
    <w:rsid w:val="00106E8B"/>
    <w:rsid w:val="00121EC1"/>
    <w:rsid w:val="001276D0"/>
    <w:rsid w:val="001467E0"/>
    <w:rsid w:val="00197977"/>
    <w:rsid w:val="001D1331"/>
    <w:rsid w:val="001E3911"/>
    <w:rsid w:val="00241430"/>
    <w:rsid w:val="002641D1"/>
    <w:rsid w:val="00267019"/>
    <w:rsid w:val="0029697F"/>
    <w:rsid w:val="002B5EC4"/>
    <w:rsid w:val="002E0CA4"/>
    <w:rsid w:val="002F2C0D"/>
    <w:rsid w:val="00302B07"/>
    <w:rsid w:val="00304ECE"/>
    <w:rsid w:val="00347F2D"/>
    <w:rsid w:val="00383B92"/>
    <w:rsid w:val="004131A8"/>
    <w:rsid w:val="004153B4"/>
    <w:rsid w:val="00451A15"/>
    <w:rsid w:val="00460B54"/>
    <w:rsid w:val="004E61BB"/>
    <w:rsid w:val="00523ED0"/>
    <w:rsid w:val="00555349"/>
    <w:rsid w:val="00582FA5"/>
    <w:rsid w:val="00593683"/>
    <w:rsid w:val="00613D4C"/>
    <w:rsid w:val="006B6EC3"/>
    <w:rsid w:val="006D6FEA"/>
    <w:rsid w:val="006E3897"/>
    <w:rsid w:val="006F40BA"/>
    <w:rsid w:val="00717E72"/>
    <w:rsid w:val="00724055"/>
    <w:rsid w:val="0073272F"/>
    <w:rsid w:val="00773565"/>
    <w:rsid w:val="00785495"/>
    <w:rsid w:val="007B4852"/>
    <w:rsid w:val="007C137C"/>
    <w:rsid w:val="007D07F7"/>
    <w:rsid w:val="007F22AC"/>
    <w:rsid w:val="00825D66"/>
    <w:rsid w:val="0086145B"/>
    <w:rsid w:val="00897041"/>
    <w:rsid w:val="00940D93"/>
    <w:rsid w:val="0099536C"/>
    <w:rsid w:val="009E219C"/>
    <w:rsid w:val="00A02373"/>
    <w:rsid w:val="00A101C4"/>
    <w:rsid w:val="00A157B7"/>
    <w:rsid w:val="00A4127A"/>
    <w:rsid w:val="00A42AFD"/>
    <w:rsid w:val="00A50E5F"/>
    <w:rsid w:val="00AC17E0"/>
    <w:rsid w:val="00BC6E7A"/>
    <w:rsid w:val="00C053B4"/>
    <w:rsid w:val="00C17559"/>
    <w:rsid w:val="00C848F4"/>
    <w:rsid w:val="00D121AC"/>
    <w:rsid w:val="00D13377"/>
    <w:rsid w:val="00D30D83"/>
    <w:rsid w:val="00D423CE"/>
    <w:rsid w:val="00D6249E"/>
    <w:rsid w:val="00D8537C"/>
    <w:rsid w:val="00D90FC9"/>
    <w:rsid w:val="00DA15A9"/>
    <w:rsid w:val="00DB2298"/>
    <w:rsid w:val="00DD56A9"/>
    <w:rsid w:val="00DE497A"/>
    <w:rsid w:val="00DF67B3"/>
    <w:rsid w:val="00E03D44"/>
    <w:rsid w:val="00E1701E"/>
    <w:rsid w:val="00E21724"/>
    <w:rsid w:val="00E52A02"/>
    <w:rsid w:val="00E9406C"/>
    <w:rsid w:val="00E95262"/>
    <w:rsid w:val="00EB31A9"/>
    <w:rsid w:val="00EB5D5A"/>
    <w:rsid w:val="00ED0047"/>
    <w:rsid w:val="00EF3360"/>
    <w:rsid w:val="00F27B33"/>
    <w:rsid w:val="00F73DDC"/>
    <w:rsid w:val="00FA2F77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uka.or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uka.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ka.org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4</cp:revision>
  <dcterms:created xsi:type="dcterms:W3CDTF">2017-06-15T07:38:00Z</dcterms:created>
  <dcterms:modified xsi:type="dcterms:W3CDTF">2017-06-15T07:39:00Z</dcterms:modified>
</cp:coreProperties>
</file>