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4C" w:rsidRPr="00224382" w:rsidRDefault="00C1554C" w:rsidP="00737EDD">
      <w:pPr>
        <w:spacing w:after="0" w:line="240" w:lineRule="auto"/>
        <w:contextualSpacing/>
        <w:jc w:val="both"/>
      </w:pPr>
      <w:r w:rsidRPr="00224382">
        <w:rPr>
          <w:rFonts w:ascii="Times New Roman" w:hAnsi="Times New Roman"/>
          <w:b/>
          <w:bCs/>
          <w:sz w:val="28"/>
          <w:szCs w:val="28"/>
        </w:rPr>
        <w:t>Область науки:</w:t>
      </w:r>
      <w:r w:rsidRPr="00224382">
        <w:t xml:space="preserve"> </w:t>
      </w:r>
    </w:p>
    <w:p w:rsidR="00C1554C" w:rsidRPr="00224382" w:rsidRDefault="00C1554C" w:rsidP="00737ED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24382">
        <w:rPr>
          <w:rStyle w:val="2"/>
          <w:rFonts w:eastAsia="Calibri"/>
        </w:rPr>
        <w:t>5. Социальные и гуманитарные науки</w:t>
      </w:r>
    </w:p>
    <w:p w:rsidR="00C1554C" w:rsidRPr="00224382" w:rsidRDefault="00C1554C" w:rsidP="00737ED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1554C" w:rsidRPr="00224382" w:rsidRDefault="00C1554C" w:rsidP="00737EDD">
      <w:pPr>
        <w:spacing w:after="0" w:line="240" w:lineRule="auto"/>
        <w:contextualSpacing/>
        <w:jc w:val="both"/>
        <w:rPr>
          <w:rStyle w:val="2"/>
          <w:rFonts w:eastAsia="Calibri"/>
          <w:b/>
          <w:bCs/>
        </w:rPr>
      </w:pPr>
      <w:r w:rsidRPr="00224382">
        <w:rPr>
          <w:rStyle w:val="2"/>
          <w:rFonts w:eastAsia="Calibri"/>
          <w:b/>
          <w:bCs/>
        </w:rPr>
        <w:t>Группа научных специальностей:</w:t>
      </w:r>
    </w:p>
    <w:p w:rsidR="00C1554C" w:rsidRPr="00224382" w:rsidRDefault="00EA0AA4" w:rsidP="00737EDD">
      <w:pPr>
        <w:spacing w:after="0" w:line="240" w:lineRule="auto"/>
        <w:contextualSpacing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5.8. Педагогика</w:t>
      </w:r>
    </w:p>
    <w:p w:rsidR="00C1554C" w:rsidRPr="00224382" w:rsidRDefault="00C1554C" w:rsidP="00737EDD">
      <w:pPr>
        <w:spacing w:after="0" w:line="240" w:lineRule="auto"/>
        <w:contextualSpacing/>
        <w:jc w:val="both"/>
        <w:rPr>
          <w:rStyle w:val="2"/>
          <w:rFonts w:eastAsia="Calibri"/>
        </w:rPr>
      </w:pPr>
    </w:p>
    <w:p w:rsidR="00C1554C" w:rsidRPr="00224382" w:rsidRDefault="00C1554C" w:rsidP="00737EDD">
      <w:pPr>
        <w:spacing w:after="0" w:line="240" w:lineRule="auto"/>
        <w:contextualSpacing/>
        <w:jc w:val="both"/>
        <w:rPr>
          <w:rStyle w:val="2"/>
          <w:rFonts w:eastAsia="Calibri"/>
          <w:b/>
          <w:bCs/>
        </w:rPr>
      </w:pPr>
      <w:bookmarkStart w:id="0" w:name="_Hlk70533776"/>
      <w:r w:rsidRPr="00224382">
        <w:rPr>
          <w:rStyle w:val="2"/>
          <w:rFonts w:eastAsia="Calibri"/>
          <w:b/>
          <w:bCs/>
        </w:rPr>
        <w:t>Наименование отрасли науки, по которой присуждаются ученые степени:</w:t>
      </w:r>
    </w:p>
    <w:bookmarkEnd w:id="0"/>
    <w:p w:rsidR="00C1554C" w:rsidRPr="00224382" w:rsidRDefault="00EA0AA4" w:rsidP="00737E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1554C" w:rsidRPr="00224382">
        <w:rPr>
          <w:rFonts w:ascii="Times New Roman" w:hAnsi="Times New Roman"/>
          <w:sz w:val="28"/>
          <w:szCs w:val="28"/>
        </w:rPr>
        <w:t>едагогические науки</w:t>
      </w:r>
    </w:p>
    <w:p w:rsidR="00C1554C" w:rsidRPr="00224382" w:rsidRDefault="00C1554C" w:rsidP="00737E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554C" w:rsidRPr="00224382" w:rsidRDefault="00C1554C" w:rsidP="00737ED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24382">
        <w:rPr>
          <w:rFonts w:ascii="Times New Roman" w:hAnsi="Times New Roman"/>
          <w:b/>
          <w:bCs/>
          <w:sz w:val="28"/>
          <w:szCs w:val="28"/>
        </w:rPr>
        <w:t>Шифр научной специальности:</w:t>
      </w:r>
    </w:p>
    <w:p w:rsidR="00C1554C" w:rsidRPr="00EA0AA4" w:rsidRDefault="00C1554C" w:rsidP="00737EDD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AA4">
        <w:rPr>
          <w:rFonts w:ascii="Times New Roman" w:hAnsi="Times New Roman"/>
          <w:sz w:val="28"/>
          <w:szCs w:val="28"/>
        </w:rPr>
        <w:t>Методология и технологи</w:t>
      </w:r>
      <w:r w:rsidR="0092189B">
        <w:rPr>
          <w:rFonts w:ascii="Times New Roman" w:hAnsi="Times New Roman"/>
          <w:sz w:val="28"/>
          <w:szCs w:val="28"/>
        </w:rPr>
        <w:t>я</w:t>
      </w:r>
      <w:r w:rsidRPr="00EA0AA4">
        <w:rPr>
          <w:rFonts w:ascii="Times New Roman" w:hAnsi="Times New Roman"/>
          <w:sz w:val="28"/>
          <w:szCs w:val="28"/>
        </w:rPr>
        <w:t xml:space="preserve"> профессионального образования</w:t>
      </w:r>
    </w:p>
    <w:p w:rsidR="00C1554C" w:rsidRPr="00224382" w:rsidRDefault="00C1554C" w:rsidP="00737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54C" w:rsidRPr="00224382" w:rsidRDefault="00EA0AA4" w:rsidP="00737E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Направления</w:t>
      </w:r>
      <w:r w:rsidR="00C1554C" w:rsidRPr="002243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исследований: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Методология исследований проблем профессионального образования, научные подходы к исследованию тенденций развития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Генезис методологических и теоретических основ профессионального образования.</w:t>
      </w:r>
    </w:p>
    <w:p w:rsidR="00224382" w:rsidRPr="00224382" w:rsidRDefault="00224382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Понятийный аппарат профессионального образования. 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Методологические основы </w:t>
      </w: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компетентностного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>, контекстного, проектного</w:t>
      </w:r>
      <w:r w:rsidR="00224382" w:rsidRPr="0022438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субъектоцентрированного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подходов в профессиональном образовании. Целостность процесса профессионального образования, несводимость его к предметному обучению. </w:t>
      </w: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Компетентностная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модель специалиста. 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Компетентностный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подход в профессиональной подготовке специалиста. Обновление профессиональных функций специалистов в условиях </w:t>
      </w: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цифровизации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экономики и </w:t>
      </w: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сферы как фактор развития содержания и технологий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профессионального мировоззрения. 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Интеграционные процессы в профессиональном образовании. Интеграция общеобразовательной и профессиональной подготовки в учреждениях профессионального образования.</w:t>
      </w:r>
    </w:p>
    <w:p w:rsidR="00224382" w:rsidRPr="00224382" w:rsidRDefault="00224382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Гуманизация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профессионального образования. Гуманитарная экспертиза инновационных проектов в сфере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Образовательная среда организации профессионального образования. цифровые образовательные среды в вузах и колледжах.</w:t>
      </w:r>
    </w:p>
    <w:p w:rsidR="007701D5" w:rsidRPr="007701D5" w:rsidRDefault="007701D5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01D5">
        <w:rPr>
          <w:rFonts w:ascii="Times New Roman" w:hAnsi="Times New Roman"/>
          <w:color w:val="000000" w:themeColor="text1"/>
          <w:sz w:val="28"/>
          <w:szCs w:val="28"/>
        </w:rPr>
        <w:t>Сетевые модели и цифровые технологии в сфере профессионального образования. Новые цифровые ресурсы и риски в условиях цифровой трансформации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Теории содержания и научные основы технологий профессионального образования. Критерии эффект</w:t>
      </w:r>
      <w:bookmarkStart w:id="1" w:name="_GoBack"/>
      <w:bookmarkEnd w:id="1"/>
      <w:r w:rsidRPr="00224382">
        <w:rPr>
          <w:rFonts w:ascii="Times New Roman" w:hAnsi="Times New Roman"/>
          <w:color w:val="000000" w:themeColor="text1"/>
          <w:sz w:val="28"/>
          <w:szCs w:val="28"/>
        </w:rPr>
        <w:t>ивности подготовки кадров. Моделирование профессиональной деятельности как метод обучения.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Отбор и структурирование цифрового контента содержания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224382">
        <w:rPr>
          <w:rFonts w:ascii="Times New Roman" w:hAnsi="Times New Roman"/>
          <w:iCs/>
          <w:sz w:val="28"/>
          <w:szCs w:val="28"/>
        </w:rPr>
        <w:lastRenderedPageBreak/>
        <w:t>Инновационные технологии в области профессионального образования. Системно-модульный подход в профессиональном образовании.</w:t>
      </w: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iCs/>
          <w:color w:val="000000" w:themeColor="text1"/>
          <w:sz w:val="28"/>
          <w:szCs w:val="28"/>
        </w:rPr>
        <w:t>Управление качеством профессионального образования. Научные основы стандартизации профессионального образования и обеспечения единства образовательного пространства. Методология разработки стандартов профессионального образования. Диагностика качества профессионального образования</w:t>
      </w:r>
      <w:r w:rsidRPr="002243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Уровни и типы учебных заведений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iCs/>
          <w:sz w:val="28"/>
          <w:szCs w:val="28"/>
        </w:rPr>
        <w:t>Непрерывное профессиональное образование, преемственность уровней профессионального образования. Механизмы взаимодействия образования, науки и производства.</w:t>
      </w: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Подготовка специалистов в высших учебных заведениях. Направления развития классического университетского и профильного высшего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Подготовка специалистов в учреждениях среднего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Подготовка квалифицированных рабочих в учреждениях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Внутрикорпоративная подготовка кадров; наставничество как образовательный процесс.</w:t>
      </w:r>
      <w:r w:rsidRPr="00224382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Переподготовка и повышение квалификации специалистов различных уровней и профилей.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Профессиональное обучение безработных и незанятого населения.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Педагогическое образование. Личностно-профессиональный генезис учителя. Подготовка научно-педагогических кадров для высшей школы. </w:t>
      </w:r>
    </w:p>
    <w:p w:rsidR="00224382" w:rsidRPr="00224382" w:rsidRDefault="00224382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iCs/>
          <w:sz w:val="28"/>
          <w:szCs w:val="28"/>
        </w:rPr>
        <w:t>Профессиональное воспитание: сущность, основные направления. Личностно-развивающий подход в профессиональном воспитании. Профессиональное саморазвитие, самообучение, самовоспитание.</w:t>
      </w:r>
      <w:r w:rsidRPr="00224382">
        <w:rPr>
          <w:rFonts w:ascii="Times New Roman" w:hAnsi="Times New Roman"/>
          <w:sz w:val="28"/>
          <w:szCs w:val="28"/>
        </w:rPr>
        <w:t xml:space="preserve"> 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Концептуализация эффективных практик подготовки кадров для различных профессиональных сфер; методы исследования профессионального образования.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iCs/>
          <w:sz w:val="28"/>
          <w:szCs w:val="28"/>
        </w:rPr>
        <w:t>Сравнительно-сопоставительный анализ профессионального образования в различных странах мира. Международное сотрудничество и мобильность в сфере профессионального образования</w:t>
      </w:r>
      <w:r w:rsidRPr="00224382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r w:rsidR="00224382" w:rsidRPr="0022438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</w:t>
      </w:r>
      <w:r w:rsidR="00224382" w:rsidRPr="00224382">
        <w:rPr>
          <w:rFonts w:ascii="Times New Roman" w:hAnsi="Times New Roman"/>
          <w:iCs/>
          <w:color w:val="000000" w:themeColor="text1"/>
          <w:sz w:val="28"/>
          <w:szCs w:val="28"/>
        </w:rPr>
        <w:t>Образовательная роль международных профессиональных конкурсов.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Государственно-общественный характер управления профессиональным образованием.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>Взаимодействие систем профессионального образования с рынком труда и социальными партнерами.</w:t>
      </w:r>
    </w:p>
    <w:p w:rsidR="00C1554C" w:rsidRPr="00224382" w:rsidRDefault="00C1554C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iCs/>
          <w:sz w:val="28"/>
          <w:szCs w:val="28"/>
        </w:rPr>
        <w:t>Образовательный менеджмент и маркетинг в профессиональном образовании</w:t>
      </w:r>
      <w:r w:rsidRPr="00224382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:rsidR="00224382" w:rsidRPr="00224382" w:rsidRDefault="00224382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Педагогические проблемы профориентации, управления и социально-экономического развития системы профессионального образования. Развивающий потенциал </w:t>
      </w:r>
      <w:proofErr w:type="spellStart"/>
      <w:r w:rsidRPr="00224382">
        <w:rPr>
          <w:rFonts w:ascii="Times New Roman" w:hAnsi="Times New Roman"/>
          <w:color w:val="000000" w:themeColor="text1"/>
          <w:sz w:val="28"/>
          <w:szCs w:val="28"/>
        </w:rPr>
        <w:t>интернет-ресурсов</w:t>
      </w:r>
      <w:proofErr w:type="spellEnd"/>
      <w:r w:rsidRPr="00224382">
        <w:rPr>
          <w:rFonts w:ascii="Times New Roman" w:hAnsi="Times New Roman"/>
          <w:color w:val="000000" w:themeColor="text1"/>
          <w:sz w:val="28"/>
          <w:szCs w:val="28"/>
        </w:rPr>
        <w:t xml:space="preserve"> в профориентации и профессиональном образовании. </w:t>
      </w:r>
    </w:p>
    <w:p w:rsidR="00224382" w:rsidRPr="00224382" w:rsidRDefault="00224382" w:rsidP="00737E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38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Регионализация профессионального образования, региональные производственно-образовательные комплексы, дуальное образование.</w:t>
      </w:r>
    </w:p>
    <w:p w:rsidR="00224382" w:rsidRPr="00C1554C" w:rsidRDefault="00224382" w:rsidP="00737E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A0AA4" w:rsidRDefault="00EA0AA4" w:rsidP="00737EDD">
      <w:pPr>
        <w:spacing w:after="0" w:line="240" w:lineRule="auto"/>
        <w:jc w:val="both"/>
        <w:rPr>
          <w:rStyle w:val="2"/>
          <w:rFonts w:eastAsia="Calibri"/>
        </w:rPr>
      </w:pPr>
      <w:r>
        <w:rPr>
          <w:rFonts w:ascii="Times New Roman" w:hAnsi="Times New Roman"/>
          <w:b/>
          <w:sz w:val="28"/>
          <w:szCs w:val="28"/>
        </w:rPr>
        <w:t>Смежные специальности (в рамках группы научной специальности)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</w:rPr>
        <w:t>:</w:t>
      </w:r>
    </w:p>
    <w:p w:rsidR="0092189B" w:rsidRPr="0092189B" w:rsidRDefault="0092189B" w:rsidP="00737ED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2189B">
        <w:rPr>
          <w:rFonts w:ascii="Times New Roman" w:hAnsi="Times New Roman" w:cs="Times New Roman"/>
          <w:sz w:val="28"/>
          <w:szCs w:val="24"/>
        </w:rPr>
        <w:t>5.8.1. Общая педагогика, история педагогики и образования</w:t>
      </w:r>
    </w:p>
    <w:p w:rsidR="0092189B" w:rsidRPr="0092189B" w:rsidRDefault="0092189B" w:rsidP="00737ED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2189B">
        <w:rPr>
          <w:rFonts w:ascii="Times New Roman" w:hAnsi="Times New Roman" w:cs="Times New Roman"/>
          <w:sz w:val="28"/>
          <w:szCs w:val="24"/>
        </w:rPr>
        <w:t>5.8.2. Теория и методика обучения и воспитания (по областям и уровням образования)</w:t>
      </w:r>
    </w:p>
    <w:p w:rsidR="0092189B" w:rsidRPr="0092189B" w:rsidRDefault="0092189B" w:rsidP="00737ED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2189B">
        <w:rPr>
          <w:rFonts w:ascii="Times New Roman" w:hAnsi="Times New Roman" w:cs="Times New Roman"/>
          <w:sz w:val="28"/>
          <w:szCs w:val="24"/>
        </w:rPr>
        <w:t>5.8.3. Коррекционная педагогика (сурдопедагогика и тифлопедагогика, олигофренопедагогика и логопедия)</w:t>
      </w:r>
    </w:p>
    <w:p w:rsidR="00EA0AA4" w:rsidRDefault="0092189B" w:rsidP="00737ED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2189B">
        <w:rPr>
          <w:rFonts w:ascii="Times New Roman" w:hAnsi="Times New Roman" w:cs="Times New Roman"/>
          <w:sz w:val="28"/>
          <w:szCs w:val="24"/>
        </w:rPr>
        <w:t>5.8.4. Физическая культура и профессиональная физическая подготовка</w:t>
      </w:r>
    </w:p>
    <w:sectPr w:rsidR="00EA0AA4" w:rsidSect="00F9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316" w:rsidRDefault="00A12316" w:rsidP="00EA0AA4">
      <w:pPr>
        <w:spacing w:after="0" w:line="240" w:lineRule="auto"/>
      </w:pPr>
      <w:r>
        <w:separator/>
      </w:r>
    </w:p>
  </w:endnote>
  <w:endnote w:type="continuationSeparator" w:id="0">
    <w:p w:rsidR="00A12316" w:rsidRDefault="00A12316" w:rsidP="00EA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316" w:rsidRDefault="00A12316" w:rsidP="00EA0AA4">
      <w:pPr>
        <w:spacing w:after="0" w:line="240" w:lineRule="auto"/>
      </w:pPr>
      <w:r>
        <w:separator/>
      </w:r>
    </w:p>
  </w:footnote>
  <w:footnote w:type="continuationSeparator" w:id="0">
    <w:p w:rsidR="00A12316" w:rsidRDefault="00A12316" w:rsidP="00EA0AA4">
      <w:pPr>
        <w:spacing w:after="0" w:line="240" w:lineRule="auto"/>
      </w:pPr>
      <w:r>
        <w:continuationSeparator/>
      </w:r>
    </w:p>
  </w:footnote>
  <w:footnote w:id="1">
    <w:p w:rsidR="00EA0AA4" w:rsidRDefault="00EA0AA4" w:rsidP="00EA0AA4">
      <w:pPr>
        <w:pStyle w:val="a4"/>
      </w:pPr>
      <w:r>
        <w:rPr>
          <w:rStyle w:val="a6"/>
          <w:rFonts w:ascii="Times New Roman" w:hAnsi="Times New Roman"/>
        </w:rPr>
        <w:footnoteRef/>
      </w:r>
      <w:r>
        <w:rPr>
          <w:sz w:val="24"/>
          <w:szCs w:val="24"/>
        </w:rPr>
        <w:tab/>
        <w:t xml:space="preserve">Для рекомендации научных специальностей в создаваемых диссертационных советах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25C"/>
    <w:multiLevelType w:val="hybridMultilevel"/>
    <w:tmpl w:val="AB2AFAFC"/>
    <w:lvl w:ilvl="0" w:tplc="5BCC00C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A1B31"/>
    <w:multiLevelType w:val="hybridMultilevel"/>
    <w:tmpl w:val="1E840A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74757"/>
    <w:multiLevelType w:val="hybridMultilevel"/>
    <w:tmpl w:val="9B1C2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509A4"/>
    <w:multiLevelType w:val="multilevel"/>
    <w:tmpl w:val="1DF0FE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4459F0"/>
    <w:multiLevelType w:val="hybridMultilevel"/>
    <w:tmpl w:val="421C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631E"/>
    <w:multiLevelType w:val="multilevel"/>
    <w:tmpl w:val="6E16A0A4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54C"/>
    <w:rsid w:val="00036F22"/>
    <w:rsid w:val="0013631F"/>
    <w:rsid w:val="00224382"/>
    <w:rsid w:val="007260E5"/>
    <w:rsid w:val="00737EDD"/>
    <w:rsid w:val="007701D5"/>
    <w:rsid w:val="0092189B"/>
    <w:rsid w:val="009B3582"/>
    <w:rsid w:val="00A12316"/>
    <w:rsid w:val="00B37047"/>
    <w:rsid w:val="00C1554C"/>
    <w:rsid w:val="00CD0678"/>
    <w:rsid w:val="00EA0AA4"/>
    <w:rsid w:val="00F9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C15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1554C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A0AA4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EA0AA4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A0A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Символ сноски"/>
    <w:rsid w:val="00EA0A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БГПУ</cp:lastModifiedBy>
  <cp:revision>2</cp:revision>
  <dcterms:created xsi:type="dcterms:W3CDTF">2021-09-17T10:31:00Z</dcterms:created>
  <dcterms:modified xsi:type="dcterms:W3CDTF">2021-09-17T10:31:00Z</dcterms:modified>
</cp:coreProperties>
</file>