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B5" w:rsidRDefault="003420B5">
      <w:pPr>
        <w:pStyle w:val="ConsPlusTitlePage"/>
      </w:pPr>
      <w:r>
        <w:t xml:space="preserve">Документ предоставлен </w:t>
      </w:r>
      <w:hyperlink r:id="rId5" w:history="1">
        <w:r>
          <w:rPr>
            <w:color w:val="0000FF"/>
          </w:rPr>
          <w:t>КонсультантПлюс</w:t>
        </w:r>
      </w:hyperlink>
      <w:r>
        <w:br/>
      </w:r>
    </w:p>
    <w:p w:rsidR="003420B5" w:rsidRDefault="003420B5">
      <w:pPr>
        <w:pStyle w:val="ConsPlusNormal"/>
        <w:outlineLvl w:val="0"/>
      </w:pPr>
    </w:p>
    <w:p w:rsidR="003420B5" w:rsidRDefault="003420B5">
      <w:pPr>
        <w:pStyle w:val="ConsPlusTitle"/>
        <w:jc w:val="center"/>
        <w:outlineLvl w:val="0"/>
      </w:pPr>
      <w:r>
        <w:t>ПРАВИТЕЛЬСТВО РЕСПУБЛИКИ БАШКОРТОСТАН</w:t>
      </w:r>
    </w:p>
    <w:p w:rsidR="003420B5" w:rsidRDefault="003420B5">
      <w:pPr>
        <w:pStyle w:val="ConsPlusTitle"/>
        <w:jc w:val="center"/>
      </w:pPr>
    </w:p>
    <w:p w:rsidR="003420B5" w:rsidRDefault="003420B5">
      <w:pPr>
        <w:pStyle w:val="ConsPlusTitle"/>
        <w:jc w:val="center"/>
      </w:pPr>
      <w:r>
        <w:t>ПОСТАНОВЛЕНИЕ</w:t>
      </w:r>
    </w:p>
    <w:p w:rsidR="003420B5" w:rsidRDefault="003420B5">
      <w:pPr>
        <w:pStyle w:val="ConsPlusTitle"/>
        <w:jc w:val="center"/>
      </w:pPr>
      <w:r>
        <w:t>от 26 февраля 2020 г. N 107</w:t>
      </w:r>
    </w:p>
    <w:p w:rsidR="003420B5" w:rsidRDefault="003420B5">
      <w:pPr>
        <w:pStyle w:val="ConsPlusTitle"/>
        <w:jc w:val="center"/>
      </w:pPr>
    </w:p>
    <w:p w:rsidR="003420B5" w:rsidRDefault="003420B5">
      <w:pPr>
        <w:pStyle w:val="ConsPlusTitle"/>
        <w:jc w:val="center"/>
      </w:pPr>
      <w:r>
        <w:t>ОБ УЧРЕЖДЕНИИ СТИПЕНДИЙ ИМЕНИ РАВИЛЯ БИКБАЕВА</w:t>
      </w:r>
    </w:p>
    <w:p w:rsidR="003420B5" w:rsidRDefault="003420B5">
      <w:pPr>
        <w:pStyle w:val="ConsPlusNormal"/>
        <w:ind w:firstLine="540"/>
        <w:jc w:val="both"/>
      </w:pPr>
    </w:p>
    <w:p w:rsidR="003420B5" w:rsidRDefault="003420B5">
      <w:pPr>
        <w:pStyle w:val="ConsPlusNormal"/>
        <w:ind w:firstLine="540"/>
        <w:jc w:val="both"/>
      </w:pPr>
      <w:r>
        <w:t xml:space="preserve">В соответствии с </w:t>
      </w:r>
      <w:hyperlink r:id="rId6" w:history="1">
        <w:r>
          <w:rPr>
            <w:color w:val="0000FF"/>
          </w:rPr>
          <w:t>Указом</w:t>
        </w:r>
      </w:hyperlink>
      <w:r>
        <w:t xml:space="preserve"> Главы Республики Башкортостан от 1 октября 2019 года N УГ-322 "Об увековечении памяти народного поэта Башкортостана Равиля Тухватовича Бикбаева" Правительство Республики Башкортостан постановляет:</w:t>
      </w:r>
    </w:p>
    <w:p w:rsidR="003420B5" w:rsidRDefault="003420B5">
      <w:pPr>
        <w:pStyle w:val="ConsPlusNormal"/>
        <w:spacing w:before="220"/>
        <w:ind w:firstLine="540"/>
        <w:jc w:val="both"/>
      </w:pPr>
      <w:r>
        <w:t>1. Учредить две стипендии имени Равиля Бикбаева для студентов государственных образовательных организаций высшего образования, действующих на территории Республики Башкортостан, за вклад в изучение, развитие и общественную деятельность по сохранению, продвижению и популяризации родных языков и литературы Республики Башкортостан в размере 1200 рублей каждая с учетом регионального коэффициента.</w:t>
      </w:r>
    </w:p>
    <w:p w:rsidR="003420B5" w:rsidRDefault="003420B5">
      <w:pPr>
        <w:pStyle w:val="ConsPlusNormal"/>
        <w:spacing w:before="220"/>
        <w:ind w:firstLine="540"/>
        <w:jc w:val="both"/>
      </w:pPr>
      <w:r>
        <w:t xml:space="preserve">2. Утвердить прилагаемое </w:t>
      </w:r>
      <w:hyperlink w:anchor="P26" w:history="1">
        <w:r>
          <w:rPr>
            <w:color w:val="0000FF"/>
          </w:rPr>
          <w:t>Положение</w:t>
        </w:r>
      </w:hyperlink>
      <w:r>
        <w:t xml:space="preserve"> о стипендиях имени Равиля Бикбаева.</w:t>
      </w:r>
    </w:p>
    <w:p w:rsidR="003420B5" w:rsidRDefault="003420B5">
      <w:pPr>
        <w:pStyle w:val="ConsPlusNormal"/>
        <w:spacing w:before="220"/>
        <w:ind w:firstLine="540"/>
        <w:jc w:val="both"/>
      </w:pPr>
      <w:r>
        <w:t>3. Настоящее Постановление распространяется на правоотношения, возникшие с 1 января 2020 года.</w:t>
      </w:r>
    </w:p>
    <w:p w:rsidR="003420B5" w:rsidRDefault="003420B5">
      <w:pPr>
        <w:pStyle w:val="ConsPlusNormal"/>
        <w:ind w:firstLine="540"/>
        <w:jc w:val="both"/>
      </w:pPr>
    </w:p>
    <w:p w:rsidR="003420B5" w:rsidRDefault="003420B5">
      <w:pPr>
        <w:pStyle w:val="ConsPlusNormal"/>
        <w:jc w:val="right"/>
      </w:pPr>
      <w:r>
        <w:t>Глава</w:t>
      </w:r>
    </w:p>
    <w:p w:rsidR="003420B5" w:rsidRDefault="003420B5">
      <w:pPr>
        <w:pStyle w:val="ConsPlusNormal"/>
        <w:jc w:val="right"/>
      </w:pPr>
      <w:r>
        <w:t>Республики Башкортостан</w:t>
      </w:r>
    </w:p>
    <w:p w:rsidR="003420B5" w:rsidRDefault="003420B5">
      <w:pPr>
        <w:pStyle w:val="ConsPlusNormal"/>
        <w:jc w:val="right"/>
      </w:pPr>
      <w:r>
        <w:t>Р.Ф.ХАБИРОВ</w:t>
      </w:r>
    </w:p>
    <w:p w:rsidR="003420B5" w:rsidRDefault="003420B5">
      <w:pPr>
        <w:pStyle w:val="ConsPlusNormal"/>
        <w:ind w:firstLine="540"/>
        <w:jc w:val="both"/>
      </w:pPr>
    </w:p>
    <w:p w:rsidR="003420B5" w:rsidRDefault="003420B5">
      <w:pPr>
        <w:pStyle w:val="ConsPlusNormal"/>
        <w:ind w:firstLine="540"/>
        <w:jc w:val="both"/>
      </w:pPr>
    </w:p>
    <w:p w:rsidR="003420B5" w:rsidRDefault="003420B5">
      <w:pPr>
        <w:pStyle w:val="ConsPlusNormal"/>
        <w:ind w:firstLine="540"/>
        <w:jc w:val="both"/>
      </w:pPr>
    </w:p>
    <w:p w:rsidR="003420B5" w:rsidRDefault="003420B5">
      <w:pPr>
        <w:pStyle w:val="ConsPlusNormal"/>
        <w:ind w:firstLine="540"/>
        <w:jc w:val="both"/>
      </w:pPr>
    </w:p>
    <w:p w:rsidR="003420B5" w:rsidRDefault="003420B5">
      <w:pPr>
        <w:pStyle w:val="ConsPlusNormal"/>
        <w:ind w:firstLine="540"/>
        <w:jc w:val="both"/>
      </w:pPr>
    </w:p>
    <w:p w:rsidR="003420B5" w:rsidRDefault="003420B5">
      <w:pPr>
        <w:pStyle w:val="ConsPlusNormal"/>
        <w:jc w:val="right"/>
        <w:outlineLvl w:val="0"/>
      </w:pPr>
      <w:r>
        <w:t>Утверждено</w:t>
      </w:r>
    </w:p>
    <w:p w:rsidR="003420B5" w:rsidRDefault="003420B5">
      <w:pPr>
        <w:pStyle w:val="ConsPlusNormal"/>
        <w:jc w:val="right"/>
      </w:pPr>
      <w:r>
        <w:t>Постановлением Правительства</w:t>
      </w:r>
    </w:p>
    <w:p w:rsidR="003420B5" w:rsidRDefault="003420B5">
      <w:pPr>
        <w:pStyle w:val="ConsPlusNormal"/>
        <w:jc w:val="right"/>
      </w:pPr>
      <w:r>
        <w:t>Республики Башкортостан</w:t>
      </w:r>
    </w:p>
    <w:p w:rsidR="003420B5" w:rsidRDefault="003420B5">
      <w:pPr>
        <w:pStyle w:val="ConsPlusNormal"/>
        <w:jc w:val="right"/>
      </w:pPr>
      <w:r>
        <w:t>от 26 февраля 2020 г. N 107</w:t>
      </w:r>
    </w:p>
    <w:p w:rsidR="003420B5" w:rsidRDefault="003420B5">
      <w:pPr>
        <w:pStyle w:val="ConsPlusNormal"/>
        <w:jc w:val="right"/>
      </w:pPr>
    </w:p>
    <w:p w:rsidR="003420B5" w:rsidRDefault="003420B5">
      <w:pPr>
        <w:pStyle w:val="ConsPlusTitle"/>
        <w:jc w:val="center"/>
      </w:pPr>
      <w:bookmarkStart w:id="0" w:name="P26"/>
      <w:bookmarkEnd w:id="0"/>
      <w:r>
        <w:t>ПОЛОЖЕНИЕ</w:t>
      </w:r>
    </w:p>
    <w:p w:rsidR="003420B5" w:rsidRDefault="003420B5">
      <w:pPr>
        <w:pStyle w:val="ConsPlusTitle"/>
        <w:jc w:val="center"/>
      </w:pPr>
      <w:r>
        <w:t>О СТИПЕНДИЯХ ИМЕНИ РАВИЛЯ БИКБАЕВА</w:t>
      </w:r>
    </w:p>
    <w:p w:rsidR="003420B5" w:rsidRDefault="003420B5">
      <w:pPr>
        <w:pStyle w:val="ConsPlusNormal"/>
        <w:jc w:val="center"/>
      </w:pPr>
    </w:p>
    <w:p w:rsidR="003420B5" w:rsidRDefault="003420B5">
      <w:pPr>
        <w:pStyle w:val="ConsPlusTitle"/>
        <w:jc w:val="center"/>
        <w:outlineLvl w:val="1"/>
      </w:pPr>
      <w:r>
        <w:t>1. ОБЩИЕ ПОЛОЖЕНИЯ</w:t>
      </w:r>
    </w:p>
    <w:p w:rsidR="003420B5" w:rsidRDefault="003420B5">
      <w:pPr>
        <w:pStyle w:val="ConsPlusNormal"/>
        <w:ind w:firstLine="540"/>
        <w:jc w:val="both"/>
      </w:pPr>
    </w:p>
    <w:p w:rsidR="003420B5" w:rsidRDefault="003420B5">
      <w:pPr>
        <w:pStyle w:val="ConsPlusNormal"/>
        <w:ind w:firstLine="540"/>
        <w:jc w:val="both"/>
      </w:pPr>
      <w:r>
        <w:t xml:space="preserve">1.1. </w:t>
      </w:r>
      <w:proofErr w:type="gramStart"/>
      <w:r>
        <w:t>Стипендии имени Равиля Бикбаева (далее - стипендии) назначаются ежегодно с 1 сентября на один учебный год студентам, обучающимся по очной форме обучения в государственных образовательных организациях, осуществляющих образовательную деятельность по имеющим государственную аккредитацию образовательным программам высшего образования на территории Республики Башкортостан (далее - образовательные организации высшего образования), за вклад в изучение, развитие и общественную деятельность по сохранению, продвижению и популяризации родных языков</w:t>
      </w:r>
      <w:proofErr w:type="gramEnd"/>
      <w:r>
        <w:t xml:space="preserve"> и литературы Республики Башкортостан.</w:t>
      </w:r>
    </w:p>
    <w:p w:rsidR="003420B5" w:rsidRDefault="003420B5">
      <w:pPr>
        <w:pStyle w:val="ConsPlusNormal"/>
        <w:spacing w:before="220"/>
        <w:ind w:firstLine="540"/>
        <w:jc w:val="both"/>
      </w:pPr>
      <w:r>
        <w:t xml:space="preserve">1.2. Министерство образования и науки Республики Башкортостан (далее - Министерство) ежегодно проводит открытый конкурс на получение стипендии (далее - конкурс). В объявлении о проведении конкурса указываются состав представляемых сведений о претендентах на получение </w:t>
      </w:r>
      <w:r>
        <w:lastRenderedPageBreak/>
        <w:t>стипендии, место, срок и порядок объявления результатов конкурса.</w:t>
      </w:r>
    </w:p>
    <w:p w:rsidR="003420B5" w:rsidRDefault="003420B5">
      <w:pPr>
        <w:pStyle w:val="ConsPlusNormal"/>
        <w:spacing w:before="220"/>
        <w:ind w:firstLine="540"/>
        <w:jc w:val="both"/>
      </w:pPr>
      <w:r>
        <w:t xml:space="preserve">1.3. Претендентами на получение стипендии являются студенты второго и последующих годов обучения, которые соответствуют критериям, установленным </w:t>
      </w:r>
      <w:hyperlink w:anchor="P34" w:history="1">
        <w:r>
          <w:rPr>
            <w:color w:val="0000FF"/>
          </w:rPr>
          <w:t>пунктом 1.4</w:t>
        </w:r>
      </w:hyperlink>
      <w:r>
        <w:t xml:space="preserve"> настоящего Положения (далее - претенденты на получение стипендии).</w:t>
      </w:r>
    </w:p>
    <w:p w:rsidR="003420B5" w:rsidRDefault="003420B5">
      <w:pPr>
        <w:pStyle w:val="ConsPlusNormal"/>
        <w:spacing w:before="220"/>
        <w:ind w:firstLine="540"/>
        <w:jc w:val="both"/>
      </w:pPr>
      <w:bookmarkStart w:id="1" w:name="P34"/>
      <w:bookmarkEnd w:id="1"/>
      <w:r>
        <w:t>1.4. Настоящим Положением устанавливаются следующие критерии отбора претендентов на получение стипендии:</w:t>
      </w:r>
    </w:p>
    <w:p w:rsidR="003420B5" w:rsidRDefault="003420B5">
      <w:pPr>
        <w:pStyle w:val="ConsPlusNormal"/>
        <w:spacing w:before="220"/>
        <w:ind w:firstLine="540"/>
        <w:jc w:val="both"/>
      </w:pPr>
      <w:r>
        <w:t xml:space="preserve">а) обучение в очной форме по имеющим государственную аккредитацию основным образовательным программам </w:t>
      </w:r>
      <w:proofErr w:type="gramStart"/>
      <w:r>
        <w:t>высшего</w:t>
      </w:r>
      <w:proofErr w:type="gramEnd"/>
      <w:r>
        <w:t xml:space="preserve"> образования;</w:t>
      </w:r>
    </w:p>
    <w:p w:rsidR="003420B5" w:rsidRDefault="003420B5">
      <w:pPr>
        <w:pStyle w:val="ConsPlusNormal"/>
        <w:spacing w:before="220"/>
        <w:ind w:firstLine="540"/>
        <w:jc w:val="both"/>
      </w:pPr>
      <w:r>
        <w:t>б) наличие оценок "отлично" и "хорошо" при отсутствии оценок "удовлетворительно", полученных по итогам 2 промежуточных аттестаций, предшествующих назначению стипендии;</w:t>
      </w:r>
    </w:p>
    <w:p w:rsidR="003420B5" w:rsidRDefault="003420B5">
      <w:pPr>
        <w:pStyle w:val="ConsPlusNormal"/>
        <w:spacing w:before="220"/>
        <w:ind w:firstLine="540"/>
        <w:jc w:val="both"/>
      </w:pPr>
      <w:r>
        <w:t>в) выполнение научно-исследовательской работы в течение 1 - 2 лет, предшествующих назначению стипендии, по продвижению и популяризации родных языков и литературы Республики Башкортостан (при наличии подтверждающих документов);</w:t>
      </w:r>
    </w:p>
    <w:p w:rsidR="003420B5" w:rsidRDefault="003420B5">
      <w:pPr>
        <w:pStyle w:val="ConsPlusNormal"/>
        <w:spacing w:before="220"/>
        <w:ind w:firstLine="540"/>
        <w:jc w:val="both"/>
      </w:pPr>
      <w:r>
        <w:t>г) признание студента победителем или призером международных, всероссийских или региональных олимпиад, конкурсов;</w:t>
      </w:r>
    </w:p>
    <w:p w:rsidR="003420B5" w:rsidRDefault="003420B5">
      <w:pPr>
        <w:pStyle w:val="ConsPlusNormal"/>
        <w:spacing w:before="220"/>
        <w:ind w:firstLine="540"/>
        <w:jc w:val="both"/>
      </w:pPr>
      <w:r>
        <w:t>д) публикация стать</w:t>
      </w:r>
      <w:proofErr w:type="gramStart"/>
      <w:r>
        <w:t>и(</w:t>
      </w:r>
      <w:proofErr w:type="gramEnd"/>
      <w:r>
        <w:t>-й) в научном издании;</w:t>
      </w:r>
    </w:p>
    <w:p w:rsidR="003420B5" w:rsidRDefault="003420B5">
      <w:pPr>
        <w:pStyle w:val="ConsPlusNormal"/>
        <w:spacing w:before="220"/>
        <w:ind w:firstLine="540"/>
        <w:jc w:val="both"/>
      </w:pPr>
      <w:r>
        <w:t>е) публичное представление студентом результатов проведенных исследований в течение 1 - 2 лет, предшествующих назначению стипендии;</w:t>
      </w:r>
    </w:p>
    <w:p w:rsidR="003420B5" w:rsidRDefault="003420B5">
      <w:pPr>
        <w:pStyle w:val="ConsPlusNormal"/>
        <w:spacing w:before="220"/>
        <w:ind w:firstLine="540"/>
        <w:jc w:val="both"/>
      </w:pPr>
      <w:r>
        <w:t>ж) иные достижения по продвижению и популяризации родных языков и литературы Республики Башкортостан.</w:t>
      </w:r>
    </w:p>
    <w:p w:rsidR="003420B5" w:rsidRDefault="003420B5">
      <w:pPr>
        <w:pStyle w:val="ConsPlusNormal"/>
        <w:spacing w:before="220"/>
        <w:ind w:firstLine="540"/>
        <w:jc w:val="both"/>
      </w:pPr>
      <w:r>
        <w:t>1.5. На основании критериев отбора определяется индивидуальный рейтинг претендента на получение стипендии (</w:t>
      </w:r>
      <w:hyperlink w:anchor="P98" w:history="1">
        <w:r>
          <w:rPr>
            <w:color w:val="0000FF"/>
          </w:rPr>
          <w:t>приложение</w:t>
        </w:r>
      </w:hyperlink>
      <w:r>
        <w:t xml:space="preserve"> к настоящему Положению).</w:t>
      </w:r>
    </w:p>
    <w:p w:rsidR="003420B5" w:rsidRDefault="003420B5">
      <w:pPr>
        <w:pStyle w:val="ConsPlusNormal"/>
        <w:spacing w:before="220"/>
        <w:ind w:firstLine="540"/>
        <w:jc w:val="both"/>
      </w:pPr>
      <w:r>
        <w:t>1.6. По итогам открытого конкурса Правительством Республики Башкортостан утверждается перечень стипендиатов на очередной учебный год.</w:t>
      </w:r>
    </w:p>
    <w:p w:rsidR="003420B5" w:rsidRDefault="003420B5">
      <w:pPr>
        <w:pStyle w:val="ConsPlusNormal"/>
        <w:spacing w:before="220"/>
        <w:ind w:firstLine="540"/>
        <w:jc w:val="both"/>
      </w:pPr>
      <w:r>
        <w:t>1.7. Стипендиату вручается именной диплом.</w:t>
      </w:r>
    </w:p>
    <w:p w:rsidR="003420B5" w:rsidRDefault="003420B5">
      <w:pPr>
        <w:pStyle w:val="ConsPlusNormal"/>
        <w:ind w:firstLine="540"/>
        <w:jc w:val="both"/>
      </w:pPr>
    </w:p>
    <w:p w:rsidR="003420B5" w:rsidRDefault="003420B5">
      <w:pPr>
        <w:pStyle w:val="ConsPlusTitle"/>
        <w:jc w:val="center"/>
        <w:outlineLvl w:val="1"/>
      </w:pPr>
      <w:r>
        <w:t>2. ПОРЯДОК НАЗНАЧЕНИЯ, ВЫПЛАТЫ И ПРЕКРАЩЕНИЯ ВЫПЛАТЫ</w:t>
      </w:r>
    </w:p>
    <w:p w:rsidR="003420B5" w:rsidRDefault="003420B5">
      <w:pPr>
        <w:pStyle w:val="ConsPlusTitle"/>
        <w:jc w:val="center"/>
      </w:pPr>
      <w:r>
        <w:t>СТИПЕНДИИ РАВИЛЯ БИКБАЕВА</w:t>
      </w:r>
    </w:p>
    <w:p w:rsidR="003420B5" w:rsidRDefault="003420B5">
      <w:pPr>
        <w:pStyle w:val="ConsPlusNormal"/>
        <w:jc w:val="center"/>
      </w:pPr>
    </w:p>
    <w:p w:rsidR="003420B5" w:rsidRDefault="003420B5">
      <w:pPr>
        <w:pStyle w:val="ConsPlusNormal"/>
        <w:ind w:firstLine="540"/>
        <w:jc w:val="both"/>
      </w:pPr>
      <w:r>
        <w:t>2.1. Конкурс проводится Министерством ежегодно в целях стимулирования студентов образовательных организаций высшего образования к изучению, развитию и общественной деятельности по сохранению, продвижению и популяризации родных языков и литературы Республики Башкортостан.</w:t>
      </w:r>
    </w:p>
    <w:p w:rsidR="003420B5" w:rsidRDefault="003420B5">
      <w:pPr>
        <w:pStyle w:val="ConsPlusNormal"/>
        <w:spacing w:before="220"/>
        <w:ind w:firstLine="540"/>
        <w:jc w:val="both"/>
      </w:pPr>
      <w:r>
        <w:t>2.2. Результатом конкурса является принятие решения о назначении стипендии на очередной учебный год.</w:t>
      </w:r>
    </w:p>
    <w:p w:rsidR="003420B5" w:rsidRDefault="003420B5">
      <w:pPr>
        <w:pStyle w:val="ConsPlusNormal"/>
        <w:spacing w:before="220"/>
        <w:ind w:firstLine="540"/>
        <w:jc w:val="both"/>
      </w:pPr>
      <w:r>
        <w:t>2.3. Объявление о проведении конкурса публикуется на официальном сайте Министерства в информационно-телекоммуникационной сети Интернет (https://education.bashkortostan.ru) (далее соответственно - объявление, официальный сайт) ежегодно не позднее 1 июня.</w:t>
      </w:r>
    </w:p>
    <w:p w:rsidR="003420B5" w:rsidRDefault="003420B5">
      <w:pPr>
        <w:pStyle w:val="ConsPlusNormal"/>
        <w:spacing w:before="220"/>
        <w:ind w:firstLine="540"/>
        <w:jc w:val="both"/>
      </w:pPr>
      <w:r>
        <w:t>2.4. Конкурс проводится в два этапа:</w:t>
      </w:r>
    </w:p>
    <w:p w:rsidR="003420B5" w:rsidRDefault="003420B5">
      <w:pPr>
        <w:pStyle w:val="ConsPlusNormal"/>
        <w:spacing w:before="220"/>
        <w:ind w:firstLine="540"/>
        <w:jc w:val="both"/>
      </w:pPr>
      <w:r>
        <w:t>первый этап конкурса - образовательными организациями высшего образования до 1 июля текущего года;</w:t>
      </w:r>
    </w:p>
    <w:p w:rsidR="003420B5" w:rsidRDefault="003420B5">
      <w:pPr>
        <w:pStyle w:val="ConsPlusNormal"/>
        <w:spacing w:before="220"/>
        <w:ind w:firstLine="540"/>
        <w:jc w:val="both"/>
      </w:pPr>
      <w:r>
        <w:lastRenderedPageBreak/>
        <w:t>второй этап конкурса - Министерством.</w:t>
      </w:r>
    </w:p>
    <w:p w:rsidR="003420B5" w:rsidRDefault="003420B5">
      <w:pPr>
        <w:pStyle w:val="ConsPlusNormal"/>
        <w:spacing w:before="220"/>
        <w:ind w:firstLine="540"/>
        <w:jc w:val="both"/>
      </w:pPr>
      <w:r>
        <w:t>2.5. Отбор претендентов на получение стипендии осуществляется комиссией по проведению отбора претендентов на получение стипендии (далее - комиссия), в которую включаются уполномоченные представители студентов организаций, осуществляющих образовательную деятельность, представители коллегиальных органов управления организаций, осуществляющих образовательную деятельность, профессиональных и общественных организаций и объединений, научно-педагогические работники организаций, осуществляющих образовательную деятельность.</w:t>
      </w:r>
    </w:p>
    <w:p w:rsidR="003420B5" w:rsidRDefault="003420B5">
      <w:pPr>
        <w:pStyle w:val="ConsPlusNormal"/>
        <w:spacing w:before="220"/>
        <w:ind w:firstLine="540"/>
        <w:jc w:val="both"/>
      </w:pPr>
      <w:bookmarkStart w:id="2" w:name="P56"/>
      <w:bookmarkEnd w:id="2"/>
      <w:r>
        <w:t>2.6. Для участия в конкурсе претенденты на получение стипендии до 20 июня текущего года подают в комиссию заявления с приложением следующих документов:</w:t>
      </w:r>
    </w:p>
    <w:p w:rsidR="003420B5" w:rsidRDefault="003420B5">
      <w:pPr>
        <w:pStyle w:val="ConsPlusNormal"/>
        <w:spacing w:before="220"/>
        <w:ind w:firstLine="540"/>
        <w:jc w:val="both"/>
      </w:pPr>
      <w:r>
        <w:t>а) зачетной книжки;</w:t>
      </w:r>
    </w:p>
    <w:p w:rsidR="003420B5" w:rsidRDefault="003420B5">
      <w:pPr>
        <w:pStyle w:val="ConsPlusNormal"/>
        <w:spacing w:before="220"/>
        <w:ind w:firstLine="540"/>
        <w:jc w:val="both"/>
      </w:pPr>
      <w:r>
        <w:t>б) публикации (для каждой публикации необходимо представить ксерокопии обложки издания и текста публикации, в случае электронной публикации - электронный носитель со ссылкой на место хранения публикации) (при наличии);</w:t>
      </w:r>
    </w:p>
    <w:p w:rsidR="003420B5" w:rsidRDefault="003420B5">
      <w:pPr>
        <w:pStyle w:val="ConsPlusNormal"/>
        <w:spacing w:before="220"/>
        <w:ind w:firstLine="540"/>
        <w:jc w:val="both"/>
      </w:pPr>
      <w:r>
        <w:t>в) документов, свидетельствующих о победах на республиканских, российских и международных олимпиадах, в творческих и иных конкурсах (при наличии);</w:t>
      </w:r>
    </w:p>
    <w:p w:rsidR="003420B5" w:rsidRDefault="003420B5">
      <w:pPr>
        <w:pStyle w:val="ConsPlusNormal"/>
        <w:spacing w:before="220"/>
        <w:ind w:firstLine="540"/>
        <w:jc w:val="both"/>
      </w:pPr>
      <w:r>
        <w:t>г) дипломов, грамот, свидетельств, благодарственных писем и иных документов, подтверждающих результативность учебной и (или) научной деятельности (при наличии);</w:t>
      </w:r>
    </w:p>
    <w:p w:rsidR="003420B5" w:rsidRDefault="003420B5">
      <w:pPr>
        <w:pStyle w:val="ConsPlusNormal"/>
        <w:spacing w:before="220"/>
        <w:ind w:firstLine="540"/>
        <w:jc w:val="both"/>
      </w:pPr>
      <w:r>
        <w:t>д) программ мероприятий, подтверждающих публичные выступления;</w:t>
      </w:r>
    </w:p>
    <w:p w:rsidR="003420B5" w:rsidRDefault="003420B5">
      <w:pPr>
        <w:pStyle w:val="ConsPlusNormal"/>
        <w:spacing w:before="220"/>
        <w:ind w:firstLine="540"/>
        <w:jc w:val="both"/>
      </w:pPr>
      <w:r>
        <w:t>е) документов, подтверждающих иные достижения.</w:t>
      </w:r>
    </w:p>
    <w:p w:rsidR="003420B5" w:rsidRDefault="003420B5">
      <w:pPr>
        <w:pStyle w:val="ConsPlusNormal"/>
        <w:spacing w:before="220"/>
        <w:ind w:firstLine="540"/>
        <w:jc w:val="both"/>
      </w:pPr>
      <w:r>
        <w:t xml:space="preserve">2.7. Документы, указанные в </w:t>
      </w:r>
      <w:hyperlink w:anchor="P56" w:history="1">
        <w:r>
          <w:rPr>
            <w:color w:val="0000FF"/>
          </w:rPr>
          <w:t>пункте 2.6</w:t>
        </w:r>
      </w:hyperlink>
      <w:r>
        <w:t xml:space="preserve"> настоящего Положения, и протоколы заседаний комиссий </w:t>
      </w:r>
      <w:proofErr w:type="gramStart"/>
      <w:r>
        <w:t>хранятся в образовательных организациях высшего образования и могут</w:t>
      </w:r>
      <w:proofErr w:type="gramEnd"/>
      <w:r>
        <w:t xml:space="preserve"> быть запрошены при необходимости Министерством. Срок их хранения - не менее 5 лет.</w:t>
      </w:r>
    </w:p>
    <w:p w:rsidR="003420B5" w:rsidRDefault="003420B5">
      <w:pPr>
        <w:pStyle w:val="ConsPlusNormal"/>
        <w:spacing w:before="220"/>
        <w:ind w:firstLine="540"/>
        <w:jc w:val="both"/>
      </w:pPr>
      <w:r>
        <w:t>2.8. Основаниями для отказа от включения в списки претендентов на назначение стипендии являются:</w:t>
      </w:r>
    </w:p>
    <w:p w:rsidR="003420B5" w:rsidRDefault="003420B5">
      <w:pPr>
        <w:pStyle w:val="ConsPlusNormal"/>
        <w:spacing w:before="220"/>
        <w:ind w:firstLine="540"/>
        <w:jc w:val="both"/>
      </w:pPr>
      <w:r>
        <w:t>наличие оценок "удовлетворительно" по результатам последних 2 экзаменационных сессий;</w:t>
      </w:r>
    </w:p>
    <w:p w:rsidR="003420B5" w:rsidRDefault="003420B5">
      <w:pPr>
        <w:pStyle w:val="ConsPlusNormal"/>
        <w:spacing w:before="220"/>
        <w:ind w:firstLine="540"/>
        <w:jc w:val="both"/>
      </w:pPr>
      <w:r>
        <w:t xml:space="preserve">выявление в представленных документах, указанных в </w:t>
      </w:r>
      <w:hyperlink w:anchor="P56" w:history="1">
        <w:r>
          <w:rPr>
            <w:color w:val="0000FF"/>
          </w:rPr>
          <w:t>пункте 2.6</w:t>
        </w:r>
      </w:hyperlink>
      <w:r>
        <w:t xml:space="preserve"> настоящего Положения, заведомо ложных и (или) недостоверных сведений.</w:t>
      </w:r>
    </w:p>
    <w:p w:rsidR="003420B5" w:rsidRDefault="003420B5">
      <w:pPr>
        <w:pStyle w:val="ConsPlusNormal"/>
        <w:spacing w:before="220"/>
        <w:ind w:firstLine="540"/>
        <w:jc w:val="both"/>
      </w:pPr>
      <w:r>
        <w:t>2.9. Сведения о претендентах на получение стипендии, прошедших первый этап конкурса, утверждаются протоколами ученых советов образовательных организаций высшего образования по представлению комиссий. Списки победителей первого этапа конкурса образовательные организации высшего образования публикуют на своих сайтах в течение одного дня после проведения первого этапа конкурса.</w:t>
      </w:r>
    </w:p>
    <w:p w:rsidR="003420B5" w:rsidRDefault="003420B5">
      <w:pPr>
        <w:pStyle w:val="ConsPlusNormal"/>
        <w:spacing w:before="220"/>
        <w:ind w:firstLine="540"/>
        <w:jc w:val="both"/>
      </w:pPr>
      <w:r>
        <w:t>2.10. Образовательные организации высшего образования направляют в Министерство до 15 июля текущего года:</w:t>
      </w:r>
    </w:p>
    <w:p w:rsidR="003420B5" w:rsidRDefault="003420B5">
      <w:pPr>
        <w:pStyle w:val="ConsPlusNormal"/>
        <w:spacing w:before="220"/>
        <w:ind w:firstLine="540"/>
        <w:jc w:val="both"/>
      </w:pPr>
      <w:r>
        <w:t>списки претендентов на получение стипендии;</w:t>
      </w:r>
    </w:p>
    <w:p w:rsidR="003420B5" w:rsidRDefault="003420B5">
      <w:pPr>
        <w:pStyle w:val="ConsPlusNormal"/>
        <w:spacing w:before="220"/>
        <w:ind w:firstLine="540"/>
        <w:jc w:val="both"/>
      </w:pPr>
      <w:r>
        <w:t>протоко</w:t>
      </w:r>
      <w:proofErr w:type="gramStart"/>
      <w:r>
        <w:t>л(</w:t>
      </w:r>
      <w:proofErr w:type="gramEnd"/>
      <w:r>
        <w:t>-ы) заседания(-ий) или выписку(-и) из протокола(-ов) заседаний комиссий;</w:t>
      </w:r>
    </w:p>
    <w:p w:rsidR="003420B5" w:rsidRDefault="003420B5">
      <w:pPr>
        <w:pStyle w:val="ConsPlusNormal"/>
        <w:spacing w:before="220"/>
        <w:ind w:firstLine="540"/>
        <w:jc w:val="both"/>
      </w:pPr>
      <w:r>
        <w:t>расчет индивидуального рейтинга стипендиат</w:t>
      </w:r>
      <w:proofErr w:type="gramStart"/>
      <w:r>
        <w:t>а(</w:t>
      </w:r>
      <w:proofErr w:type="gramEnd"/>
      <w:r>
        <w:t>-ов) с указанием суммы баллов в соответствии с установленными критериями (</w:t>
      </w:r>
      <w:hyperlink w:anchor="P98" w:history="1">
        <w:r>
          <w:rPr>
            <w:color w:val="0000FF"/>
          </w:rPr>
          <w:t>приложение</w:t>
        </w:r>
      </w:hyperlink>
      <w:r>
        <w:t xml:space="preserve"> к настоящему Положению);</w:t>
      </w:r>
    </w:p>
    <w:p w:rsidR="003420B5" w:rsidRDefault="003420B5">
      <w:pPr>
        <w:pStyle w:val="ConsPlusNormal"/>
        <w:spacing w:before="220"/>
        <w:ind w:firstLine="540"/>
        <w:jc w:val="both"/>
      </w:pPr>
      <w:r>
        <w:t>заявлени</w:t>
      </w:r>
      <w:proofErr w:type="gramStart"/>
      <w:r>
        <w:t>е(</w:t>
      </w:r>
      <w:proofErr w:type="gramEnd"/>
      <w:r>
        <w:t xml:space="preserve">-ия) студента(-ов) о согласии на осуществление обработки его (их) персональных </w:t>
      </w:r>
      <w:r>
        <w:lastRenderedPageBreak/>
        <w:t>данных.</w:t>
      </w:r>
    </w:p>
    <w:p w:rsidR="003420B5" w:rsidRDefault="003420B5">
      <w:pPr>
        <w:pStyle w:val="ConsPlusNormal"/>
        <w:spacing w:before="220"/>
        <w:ind w:firstLine="540"/>
        <w:jc w:val="both"/>
      </w:pPr>
      <w:bookmarkStart w:id="3" w:name="P73"/>
      <w:bookmarkEnd w:id="3"/>
      <w:r>
        <w:t xml:space="preserve">2.11. Для подведения итогов второго этапа конкурса приказом Министерства создается экспертная комиссия из 5 человек, в состав которой могут включаться представители Правительства Республики Башкортостан, Министерства и Совета ректоров вузов Республики Башкортостан. </w:t>
      </w:r>
      <w:proofErr w:type="gramStart"/>
      <w:r>
        <w:t>Председателем экспертной комиссии назначается заместитель министра образования и науки Республики Башкортостан, курирующий вопросы профессионального образования.</w:t>
      </w:r>
      <w:proofErr w:type="gramEnd"/>
    </w:p>
    <w:p w:rsidR="003420B5" w:rsidRDefault="003420B5">
      <w:pPr>
        <w:pStyle w:val="ConsPlusNormal"/>
        <w:spacing w:before="220"/>
        <w:ind w:firstLine="540"/>
        <w:jc w:val="both"/>
      </w:pPr>
      <w:r>
        <w:t xml:space="preserve">Экспертная комиссия </w:t>
      </w:r>
      <w:proofErr w:type="gramStart"/>
      <w:r>
        <w:t>рассматривает представленные документы в течение 14 дней после окончания их приема и проводит</w:t>
      </w:r>
      <w:proofErr w:type="gramEnd"/>
      <w:r>
        <w:t xml:space="preserve"> конкурсный отбор в соответствии с критериями, установленными </w:t>
      </w:r>
      <w:hyperlink w:anchor="P34" w:history="1">
        <w:r>
          <w:rPr>
            <w:color w:val="0000FF"/>
          </w:rPr>
          <w:t>пунктом 1.4</w:t>
        </w:r>
      </w:hyperlink>
      <w:r>
        <w:t xml:space="preserve"> настоящего Положения.</w:t>
      </w:r>
    </w:p>
    <w:p w:rsidR="003420B5" w:rsidRDefault="003420B5">
      <w:pPr>
        <w:pStyle w:val="ConsPlusNormal"/>
        <w:spacing w:before="220"/>
        <w:ind w:firstLine="540"/>
        <w:jc w:val="both"/>
      </w:pPr>
      <w:r>
        <w:t xml:space="preserve">2.12. Заседание экспертной комиссии, указанной в </w:t>
      </w:r>
      <w:hyperlink w:anchor="P73" w:history="1">
        <w:r>
          <w:rPr>
            <w:color w:val="0000FF"/>
          </w:rPr>
          <w:t>пункте 2.11</w:t>
        </w:r>
      </w:hyperlink>
      <w:r>
        <w:t xml:space="preserve"> настоящего Положения, считается правомочным, если на нем присутствует не менее половины ее состава. Решение экспертной комиссии принимается простым большинством голосов членов экспертной комиссии, присутствующих на заседании, и оформляется протоколом, который подписывается членами экспертной комиссии, принимавшими участие в заседаниях. При равенстве голосов мнение председателя экспертной комиссии является решающим. В протоколе указывается список претендентов на получение стипендии. Протокол в течение 5 рабочих дней после заседания экспертной комиссии размещается на официальном сайте Министерства в разделе "Профессиональное образование".</w:t>
      </w:r>
    </w:p>
    <w:p w:rsidR="003420B5" w:rsidRDefault="003420B5">
      <w:pPr>
        <w:pStyle w:val="ConsPlusNormal"/>
        <w:spacing w:before="220"/>
        <w:ind w:firstLine="540"/>
        <w:jc w:val="both"/>
      </w:pPr>
      <w:r>
        <w:t>2.13. Министерство на основании решения экспертной комиссии до 5 августа текущего года вносит в Правительство Республики Башкортостан проект постановления Правительства Республики Башкортостан о назначении стипендий на следующий учебный год.</w:t>
      </w:r>
    </w:p>
    <w:p w:rsidR="003420B5" w:rsidRDefault="003420B5">
      <w:pPr>
        <w:pStyle w:val="ConsPlusNormal"/>
        <w:spacing w:before="220"/>
        <w:ind w:firstLine="540"/>
        <w:jc w:val="both"/>
      </w:pPr>
      <w:r>
        <w:t>2.14. Выплата стипендий осуществляется Министерством на основании постановления Правительства Республики Башкортостан.</w:t>
      </w:r>
    </w:p>
    <w:p w:rsidR="003420B5" w:rsidRDefault="003420B5">
      <w:pPr>
        <w:pStyle w:val="ConsPlusNormal"/>
        <w:spacing w:before="220"/>
        <w:ind w:firstLine="540"/>
        <w:jc w:val="both"/>
      </w:pPr>
      <w:r>
        <w:t>Стипендиаты в течение 30 дней после дня подписания постановления Правительства Республики Башкортостан о назначении стипендий представляют в Министерство заявление о перечислении стипендиальных средств с указанием банковских реквизитов (платежная система МИР), заверенных банком.</w:t>
      </w:r>
    </w:p>
    <w:p w:rsidR="003420B5" w:rsidRDefault="003420B5">
      <w:pPr>
        <w:pStyle w:val="ConsPlusNormal"/>
        <w:spacing w:before="220"/>
        <w:ind w:firstLine="540"/>
        <w:jc w:val="both"/>
      </w:pPr>
      <w:r>
        <w:t>Министерство осуществляет выплаты в месяце, следующем за месяцем представления документов, указанных в настоящем пункте, посредством направления средств на лицевые счета стипендиатов.</w:t>
      </w:r>
    </w:p>
    <w:p w:rsidR="003420B5" w:rsidRDefault="003420B5">
      <w:pPr>
        <w:pStyle w:val="ConsPlusNormal"/>
        <w:spacing w:before="220"/>
        <w:ind w:firstLine="540"/>
        <w:jc w:val="both"/>
      </w:pPr>
      <w:bookmarkStart w:id="4" w:name="P80"/>
      <w:bookmarkEnd w:id="4"/>
      <w:r>
        <w:t>2.15. Выплата стипендии прекращается в следующих случаях:</w:t>
      </w:r>
    </w:p>
    <w:p w:rsidR="003420B5" w:rsidRDefault="003420B5">
      <w:pPr>
        <w:pStyle w:val="ConsPlusNormal"/>
        <w:spacing w:before="220"/>
        <w:ind w:firstLine="540"/>
        <w:jc w:val="both"/>
      </w:pPr>
      <w:r>
        <w:t>а) завершение периода предоставления стипендии;</w:t>
      </w:r>
    </w:p>
    <w:p w:rsidR="003420B5" w:rsidRDefault="003420B5">
      <w:pPr>
        <w:pStyle w:val="ConsPlusNormal"/>
        <w:spacing w:before="220"/>
        <w:ind w:firstLine="540"/>
        <w:jc w:val="both"/>
      </w:pPr>
      <w:r>
        <w:t>б) отчисление студента из образовательной организации высшего образования (независимо от причины отчисления).</w:t>
      </w:r>
    </w:p>
    <w:p w:rsidR="003420B5" w:rsidRDefault="003420B5">
      <w:pPr>
        <w:pStyle w:val="ConsPlusNormal"/>
        <w:spacing w:before="220"/>
        <w:ind w:firstLine="540"/>
        <w:jc w:val="both"/>
      </w:pPr>
      <w:r>
        <w:t xml:space="preserve">2.16. Образовательные организации высшего образования в течение 5 рабочих дней после наступления случаев, указанных в </w:t>
      </w:r>
      <w:hyperlink w:anchor="P80" w:history="1">
        <w:r>
          <w:rPr>
            <w:color w:val="0000FF"/>
          </w:rPr>
          <w:t>пункте 2.15</w:t>
        </w:r>
      </w:hyperlink>
      <w:r>
        <w:t xml:space="preserve"> настоящего Положения, направляют в Министерство документы, подтверждающие наступление случаев, влекущих прекращение выплаты стипендии.</w:t>
      </w:r>
    </w:p>
    <w:p w:rsidR="003420B5" w:rsidRDefault="003420B5">
      <w:pPr>
        <w:pStyle w:val="ConsPlusNormal"/>
        <w:spacing w:before="220"/>
        <w:ind w:firstLine="540"/>
        <w:jc w:val="both"/>
      </w:pPr>
      <w:r>
        <w:t xml:space="preserve">Выплата стипендии прекращается с первого числа месяца, следующего за месяцем, в котором наступил 1 из случаев, указанных в </w:t>
      </w:r>
      <w:hyperlink w:anchor="P80" w:history="1">
        <w:r>
          <w:rPr>
            <w:color w:val="0000FF"/>
          </w:rPr>
          <w:t>пункте 2.15</w:t>
        </w:r>
      </w:hyperlink>
      <w:r>
        <w:t xml:space="preserve"> настоящего Положения.</w:t>
      </w:r>
    </w:p>
    <w:p w:rsidR="003420B5" w:rsidRDefault="003420B5">
      <w:pPr>
        <w:pStyle w:val="ConsPlusNormal"/>
        <w:spacing w:before="220"/>
        <w:ind w:firstLine="540"/>
        <w:jc w:val="both"/>
      </w:pPr>
      <w:bookmarkStart w:id="5" w:name="P85"/>
      <w:bookmarkEnd w:id="5"/>
      <w:r>
        <w:t xml:space="preserve">2.17. В случае, когда ежемесячная стипендия излишне выплачена студенту по ошибке вследствие несвоевременного сообщения об основаниях прекращения выплаты стипендии, она </w:t>
      </w:r>
      <w:r>
        <w:lastRenderedPageBreak/>
        <w:t>возвращается студентом в соответствии с законодательством на лицевой счет Министерства в следующем порядке.</w:t>
      </w:r>
    </w:p>
    <w:p w:rsidR="003420B5" w:rsidRDefault="003420B5">
      <w:pPr>
        <w:pStyle w:val="ConsPlusNormal"/>
        <w:spacing w:before="220"/>
        <w:ind w:firstLine="540"/>
        <w:jc w:val="both"/>
      </w:pPr>
      <w:r>
        <w:t xml:space="preserve">Министерство в течение 5 рабочих дней со дня выявления фактов, указанных в </w:t>
      </w:r>
      <w:hyperlink w:anchor="P85" w:history="1">
        <w:r>
          <w:rPr>
            <w:color w:val="0000FF"/>
          </w:rPr>
          <w:t>абзаце первом</w:t>
        </w:r>
      </w:hyperlink>
      <w:r>
        <w:t xml:space="preserve"> настоящего пункта, направляет стипендиату требование о возврате излишне выплаченной стипендии;</w:t>
      </w:r>
    </w:p>
    <w:p w:rsidR="003420B5" w:rsidRDefault="003420B5">
      <w:pPr>
        <w:pStyle w:val="ConsPlusNormal"/>
        <w:spacing w:before="220"/>
        <w:ind w:firstLine="540"/>
        <w:jc w:val="both"/>
      </w:pPr>
      <w:r>
        <w:t>требование о возврате излишне выплаченной стипендии подлежит исполнению в течение 30 календарных дней со дня получения указанного требования;</w:t>
      </w:r>
    </w:p>
    <w:p w:rsidR="003420B5" w:rsidRDefault="003420B5">
      <w:pPr>
        <w:pStyle w:val="ConsPlusNormal"/>
        <w:spacing w:before="220"/>
        <w:ind w:firstLine="540"/>
        <w:jc w:val="both"/>
      </w:pPr>
      <w:r>
        <w:t xml:space="preserve">в случае невыполнения в установленный срок </w:t>
      </w:r>
      <w:proofErr w:type="gramStart"/>
      <w:r>
        <w:t>требования</w:t>
      </w:r>
      <w:proofErr w:type="gramEnd"/>
      <w:r>
        <w:t xml:space="preserve"> о возврате излишне выплаченной стипендии Министерство обеспечивает взыскание излишне выплаченной стипендии в судебном порядке.</w:t>
      </w:r>
    </w:p>
    <w:p w:rsidR="003420B5" w:rsidRDefault="003420B5">
      <w:pPr>
        <w:pStyle w:val="ConsPlusNormal"/>
        <w:ind w:firstLine="540"/>
        <w:jc w:val="both"/>
      </w:pPr>
    </w:p>
    <w:p w:rsidR="003420B5" w:rsidRDefault="003420B5">
      <w:pPr>
        <w:pStyle w:val="ConsPlusNormal"/>
        <w:ind w:firstLine="540"/>
        <w:jc w:val="both"/>
      </w:pPr>
    </w:p>
    <w:p w:rsidR="003420B5" w:rsidRDefault="003420B5">
      <w:pPr>
        <w:pStyle w:val="ConsPlusNormal"/>
        <w:ind w:firstLine="540"/>
        <w:jc w:val="both"/>
      </w:pPr>
    </w:p>
    <w:p w:rsidR="003420B5" w:rsidRDefault="003420B5">
      <w:pPr>
        <w:pStyle w:val="ConsPlusNormal"/>
        <w:ind w:firstLine="540"/>
        <w:jc w:val="both"/>
      </w:pPr>
    </w:p>
    <w:p w:rsidR="003420B5" w:rsidRDefault="003420B5">
      <w:pPr>
        <w:pStyle w:val="ConsPlusNormal"/>
        <w:ind w:firstLine="540"/>
        <w:jc w:val="both"/>
      </w:pPr>
    </w:p>
    <w:p w:rsidR="003420B5" w:rsidRDefault="003420B5">
      <w:pPr>
        <w:pStyle w:val="ConsPlusNormal"/>
        <w:jc w:val="right"/>
        <w:outlineLvl w:val="1"/>
      </w:pPr>
      <w:r>
        <w:t>Приложение</w:t>
      </w:r>
    </w:p>
    <w:p w:rsidR="003420B5" w:rsidRDefault="003420B5">
      <w:pPr>
        <w:pStyle w:val="ConsPlusNormal"/>
        <w:jc w:val="right"/>
      </w:pPr>
      <w:r>
        <w:t>к Положению о стипендиях</w:t>
      </w:r>
    </w:p>
    <w:p w:rsidR="003420B5" w:rsidRDefault="003420B5">
      <w:pPr>
        <w:pStyle w:val="ConsPlusNormal"/>
        <w:jc w:val="right"/>
      </w:pPr>
      <w:r>
        <w:t>имени Равиля Бикбаева</w:t>
      </w:r>
    </w:p>
    <w:p w:rsidR="003420B5" w:rsidRDefault="003420B5">
      <w:pPr>
        <w:pStyle w:val="ConsPlusNormal"/>
        <w:jc w:val="right"/>
      </w:pPr>
    </w:p>
    <w:p w:rsidR="003420B5" w:rsidRDefault="003420B5">
      <w:pPr>
        <w:pStyle w:val="ConsPlusTitle"/>
        <w:jc w:val="center"/>
      </w:pPr>
      <w:bookmarkStart w:id="6" w:name="P98"/>
      <w:bookmarkEnd w:id="6"/>
      <w:r>
        <w:t>ПЕРЕЧЕНЬ</w:t>
      </w:r>
    </w:p>
    <w:p w:rsidR="003420B5" w:rsidRDefault="003420B5">
      <w:pPr>
        <w:pStyle w:val="ConsPlusTitle"/>
        <w:jc w:val="center"/>
      </w:pPr>
      <w:r>
        <w:t>КРИТЕРИЕВ ДЛЯ ОПРЕДЕЛЕНИЯ РЕЙТИНГА ПРЕТЕНДЕНТОВ НА ПОЛУЧЕНИЕ</w:t>
      </w:r>
    </w:p>
    <w:p w:rsidR="003420B5" w:rsidRDefault="003420B5">
      <w:pPr>
        <w:pStyle w:val="ConsPlusTitle"/>
        <w:jc w:val="center"/>
      </w:pPr>
      <w:r>
        <w:t>СТИПЕНДИИ ИМЕНИ РАВИЛЯ БИКБАЕВА В БАЛЛАХ</w:t>
      </w:r>
    </w:p>
    <w:p w:rsidR="003420B5" w:rsidRDefault="003420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475"/>
        <w:gridCol w:w="1587"/>
        <w:gridCol w:w="1644"/>
        <w:gridCol w:w="1644"/>
      </w:tblGrid>
      <w:tr w:rsidR="003420B5">
        <w:tc>
          <w:tcPr>
            <w:tcW w:w="624" w:type="dxa"/>
            <w:vAlign w:val="center"/>
          </w:tcPr>
          <w:p w:rsidR="003420B5" w:rsidRDefault="003420B5">
            <w:pPr>
              <w:pStyle w:val="ConsPlusNormal"/>
              <w:jc w:val="center"/>
            </w:pPr>
            <w:r>
              <w:t xml:space="preserve">N </w:t>
            </w:r>
            <w:proofErr w:type="gramStart"/>
            <w:r>
              <w:t>п</w:t>
            </w:r>
            <w:proofErr w:type="gramEnd"/>
            <w:r>
              <w:t>/п</w:t>
            </w:r>
          </w:p>
        </w:tc>
        <w:tc>
          <w:tcPr>
            <w:tcW w:w="3475" w:type="dxa"/>
            <w:vAlign w:val="center"/>
          </w:tcPr>
          <w:p w:rsidR="003420B5" w:rsidRDefault="003420B5">
            <w:pPr>
              <w:pStyle w:val="ConsPlusNormal"/>
              <w:jc w:val="center"/>
            </w:pPr>
            <w:r>
              <w:t>Критерий для определения рейтинга претендентов на получение стипендии</w:t>
            </w:r>
          </w:p>
        </w:tc>
        <w:tc>
          <w:tcPr>
            <w:tcW w:w="1587" w:type="dxa"/>
            <w:vAlign w:val="center"/>
          </w:tcPr>
          <w:p w:rsidR="003420B5" w:rsidRDefault="003420B5">
            <w:pPr>
              <w:pStyle w:val="ConsPlusNormal"/>
              <w:jc w:val="center"/>
            </w:pPr>
            <w:r>
              <w:t>Характеристика показателя</w:t>
            </w:r>
          </w:p>
        </w:tc>
        <w:tc>
          <w:tcPr>
            <w:tcW w:w="1644" w:type="dxa"/>
            <w:vAlign w:val="center"/>
          </w:tcPr>
          <w:p w:rsidR="003420B5" w:rsidRDefault="003420B5">
            <w:pPr>
              <w:pStyle w:val="ConsPlusNormal"/>
              <w:jc w:val="center"/>
            </w:pPr>
            <w:r>
              <w:t>Весовой показатель критерия (балл)</w:t>
            </w:r>
          </w:p>
        </w:tc>
        <w:tc>
          <w:tcPr>
            <w:tcW w:w="1644" w:type="dxa"/>
            <w:vAlign w:val="center"/>
          </w:tcPr>
          <w:p w:rsidR="003420B5" w:rsidRDefault="003420B5">
            <w:pPr>
              <w:pStyle w:val="ConsPlusNormal"/>
              <w:jc w:val="center"/>
            </w:pPr>
            <w:r>
              <w:t>Фактический показатель претендента</w:t>
            </w:r>
          </w:p>
        </w:tc>
      </w:tr>
      <w:tr w:rsidR="003420B5">
        <w:tc>
          <w:tcPr>
            <w:tcW w:w="624" w:type="dxa"/>
          </w:tcPr>
          <w:p w:rsidR="003420B5" w:rsidRDefault="003420B5">
            <w:pPr>
              <w:pStyle w:val="ConsPlusNormal"/>
              <w:jc w:val="center"/>
            </w:pPr>
            <w:r>
              <w:t>1</w:t>
            </w:r>
          </w:p>
        </w:tc>
        <w:tc>
          <w:tcPr>
            <w:tcW w:w="3475" w:type="dxa"/>
          </w:tcPr>
          <w:p w:rsidR="003420B5" w:rsidRDefault="003420B5">
            <w:pPr>
              <w:pStyle w:val="ConsPlusNormal"/>
            </w:pPr>
            <w:r>
              <w:t>Средний балл зачетной книжки</w:t>
            </w:r>
          </w:p>
        </w:tc>
        <w:tc>
          <w:tcPr>
            <w:tcW w:w="1587" w:type="dxa"/>
          </w:tcPr>
          <w:p w:rsidR="003420B5" w:rsidRDefault="003420B5">
            <w:pPr>
              <w:pStyle w:val="ConsPlusNormal"/>
              <w:jc w:val="center"/>
            </w:pPr>
            <w:r>
              <w:t>количественный</w:t>
            </w:r>
          </w:p>
        </w:tc>
        <w:tc>
          <w:tcPr>
            <w:tcW w:w="1644" w:type="dxa"/>
          </w:tcPr>
          <w:p w:rsidR="003420B5" w:rsidRDefault="003420B5">
            <w:pPr>
              <w:pStyle w:val="ConsPlusNormal"/>
              <w:jc w:val="center"/>
            </w:pPr>
            <w:r>
              <w:t>фактический показатель</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2</w:t>
            </w:r>
          </w:p>
        </w:tc>
        <w:tc>
          <w:tcPr>
            <w:tcW w:w="3475" w:type="dxa"/>
          </w:tcPr>
          <w:p w:rsidR="003420B5" w:rsidRDefault="003420B5">
            <w:pPr>
              <w:pStyle w:val="ConsPlusNormal"/>
            </w:pPr>
            <w:r>
              <w:t>Публикации:</w:t>
            </w:r>
          </w:p>
        </w:tc>
        <w:tc>
          <w:tcPr>
            <w:tcW w:w="1587" w:type="dxa"/>
          </w:tcPr>
          <w:p w:rsidR="003420B5" w:rsidRDefault="003420B5">
            <w:pPr>
              <w:pStyle w:val="ConsPlusNormal"/>
              <w:jc w:val="center"/>
            </w:pPr>
            <w:r>
              <w:t>количественный</w:t>
            </w:r>
          </w:p>
        </w:tc>
        <w:tc>
          <w:tcPr>
            <w:tcW w:w="1644" w:type="dxa"/>
          </w:tcPr>
          <w:p w:rsidR="003420B5" w:rsidRDefault="003420B5">
            <w:pPr>
              <w:pStyle w:val="ConsPlusNormal"/>
              <w:jc w:val="center"/>
            </w:pPr>
            <w:r>
              <w:t>за каждую публикацию</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2.1</w:t>
            </w:r>
          </w:p>
        </w:tc>
        <w:tc>
          <w:tcPr>
            <w:tcW w:w="3475" w:type="dxa"/>
          </w:tcPr>
          <w:p w:rsidR="003420B5" w:rsidRDefault="003420B5">
            <w:pPr>
              <w:pStyle w:val="ConsPlusNormal"/>
            </w:pPr>
            <w:r>
              <w:t>в международных изданиях</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5</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2.2</w:t>
            </w:r>
          </w:p>
        </w:tc>
        <w:tc>
          <w:tcPr>
            <w:tcW w:w="3475" w:type="dxa"/>
          </w:tcPr>
          <w:p w:rsidR="003420B5" w:rsidRDefault="003420B5">
            <w:pPr>
              <w:pStyle w:val="ConsPlusNormal"/>
            </w:pPr>
            <w:r>
              <w:t>в российских изданиях</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4</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2.3</w:t>
            </w:r>
          </w:p>
        </w:tc>
        <w:tc>
          <w:tcPr>
            <w:tcW w:w="3475" w:type="dxa"/>
          </w:tcPr>
          <w:p w:rsidR="003420B5" w:rsidRDefault="003420B5">
            <w:pPr>
              <w:pStyle w:val="ConsPlusNormal"/>
            </w:pPr>
            <w:r>
              <w:t>в республиканских изданиях</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3</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2.4</w:t>
            </w:r>
          </w:p>
        </w:tc>
        <w:tc>
          <w:tcPr>
            <w:tcW w:w="3475" w:type="dxa"/>
          </w:tcPr>
          <w:p w:rsidR="003420B5" w:rsidRDefault="003420B5">
            <w:pPr>
              <w:pStyle w:val="ConsPlusNormal"/>
            </w:pPr>
            <w:r>
              <w:t>в изданиях образовательных организаций</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2</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3</w:t>
            </w:r>
          </w:p>
        </w:tc>
        <w:tc>
          <w:tcPr>
            <w:tcW w:w="3475" w:type="dxa"/>
          </w:tcPr>
          <w:p w:rsidR="003420B5" w:rsidRDefault="003420B5">
            <w:pPr>
              <w:pStyle w:val="ConsPlusNormal"/>
            </w:pPr>
            <w:r>
              <w:t>Выполнение научно-исследовательской работы</w:t>
            </w:r>
          </w:p>
        </w:tc>
        <w:tc>
          <w:tcPr>
            <w:tcW w:w="1587" w:type="dxa"/>
          </w:tcPr>
          <w:p w:rsidR="003420B5" w:rsidRDefault="003420B5">
            <w:pPr>
              <w:pStyle w:val="ConsPlusNormal"/>
              <w:jc w:val="center"/>
            </w:pPr>
            <w:r>
              <w:t>количественный</w:t>
            </w:r>
          </w:p>
        </w:tc>
        <w:tc>
          <w:tcPr>
            <w:tcW w:w="1644" w:type="dxa"/>
          </w:tcPr>
          <w:p w:rsidR="003420B5" w:rsidRDefault="003420B5">
            <w:pPr>
              <w:pStyle w:val="ConsPlusNormal"/>
              <w:jc w:val="center"/>
            </w:pPr>
            <w:r>
              <w:t>за каждую работу, 5</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4</w:t>
            </w:r>
          </w:p>
        </w:tc>
        <w:tc>
          <w:tcPr>
            <w:tcW w:w="3475" w:type="dxa"/>
          </w:tcPr>
          <w:p w:rsidR="003420B5" w:rsidRDefault="003420B5">
            <w:pPr>
              <w:pStyle w:val="ConsPlusNormal"/>
            </w:pPr>
            <w:r>
              <w:t>Признание студента победителем и (или) призером олимпиады и (или) конкурса:</w:t>
            </w:r>
          </w:p>
        </w:tc>
        <w:tc>
          <w:tcPr>
            <w:tcW w:w="1587" w:type="dxa"/>
          </w:tcPr>
          <w:p w:rsidR="003420B5" w:rsidRDefault="003420B5">
            <w:pPr>
              <w:pStyle w:val="ConsPlusNormal"/>
              <w:jc w:val="center"/>
            </w:pPr>
            <w:r>
              <w:t>количественный</w:t>
            </w:r>
          </w:p>
        </w:tc>
        <w:tc>
          <w:tcPr>
            <w:tcW w:w="1644" w:type="dxa"/>
          </w:tcPr>
          <w:p w:rsidR="003420B5" w:rsidRDefault="003420B5">
            <w:pPr>
              <w:pStyle w:val="ConsPlusNormal"/>
              <w:jc w:val="center"/>
            </w:pPr>
            <w:r>
              <w:t>за каждый документ</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4,1</w:t>
            </w:r>
          </w:p>
        </w:tc>
        <w:tc>
          <w:tcPr>
            <w:tcW w:w="3475" w:type="dxa"/>
          </w:tcPr>
          <w:p w:rsidR="003420B5" w:rsidRDefault="003420B5">
            <w:pPr>
              <w:pStyle w:val="ConsPlusNormal"/>
            </w:pPr>
            <w:r>
              <w:t>международного уровня</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5</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4.2</w:t>
            </w:r>
          </w:p>
        </w:tc>
        <w:tc>
          <w:tcPr>
            <w:tcW w:w="3475" w:type="dxa"/>
          </w:tcPr>
          <w:p w:rsidR="003420B5" w:rsidRDefault="003420B5">
            <w:pPr>
              <w:pStyle w:val="ConsPlusNormal"/>
            </w:pPr>
            <w:r>
              <w:t>российского уровня</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4</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lastRenderedPageBreak/>
              <w:t>4.3</w:t>
            </w:r>
          </w:p>
        </w:tc>
        <w:tc>
          <w:tcPr>
            <w:tcW w:w="3475" w:type="dxa"/>
          </w:tcPr>
          <w:p w:rsidR="003420B5" w:rsidRDefault="003420B5">
            <w:pPr>
              <w:pStyle w:val="ConsPlusNormal"/>
            </w:pPr>
            <w:r>
              <w:t>республиканского уровня</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3</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4.4</w:t>
            </w:r>
          </w:p>
        </w:tc>
        <w:tc>
          <w:tcPr>
            <w:tcW w:w="3475" w:type="dxa"/>
          </w:tcPr>
          <w:p w:rsidR="003420B5" w:rsidRDefault="003420B5">
            <w:pPr>
              <w:pStyle w:val="ConsPlusNormal"/>
            </w:pPr>
            <w:r>
              <w:t>уровня образовательной организации</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2</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5.</w:t>
            </w:r>
          </w:p>
        </w:tc>
        <w:tc>
          <w:tcPr>
            <w:tcW w:w="3475" w:type="dxa"/>
          </w:tcPr>
          <w:p w:rsidR="003420B5" w:rsidRDefault="003420B5">
            <w:pPr>
              <w:pStyle w:val="ConsPlusNormal"/>
            </w:pPr>
            <w:r>
              <w:t>Участие в олимпиаде и (или) конкурсе любого уровня</w:t>
            </w:r>
          </w:p>
        </w:tc>
        <w:tc>
          <w:tcPr>
            <w:tcW w:w="1587" w:type="dxa"/>
          </w:tcPr>
          <w:p w:rsidR="003420B5" w:rsidRDefault="003420B5">
            <w:pPr>
              <w:pStyle w:val="ConsPlusNormal"/>
              <w:jc w:val="center"/>
            </w:pPr>
            <w:r>
              <w:t>количественный</w:t>
            </w:r>
          </w:p>
        </w:tc>
        <w:tc>
          <w:tcPr>
            <w:tcW w:w="1644" w:type="dxa"/>
          </w:tcPr>
          <w:p w:rsidR="003420B5" w:rsidRDefault="003420B5">
            <w:pPr>
              <w:pStyle w:val="ConsPlusNormal"/>
              <w:jc w:val="center"/>
            </w:pPr>
            <w:r>
              <w:t>за каждый документ, 1</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6</w:t>
            </w:r>
          </w:p>
        </w:tc>
        <w:tc>
          <w:tcPr>
            <w:tcW w:w="3475" w:type="dxa"/>
          </w:tcPr>
          <w:p w:rsidR="003420B5" w:rsidRDefault="003420B5">
            <w:pPr>
              <w:pStyle w:val="ConsPlusNormal"/>
            </w:pPr>
            <w:r>
              <w:t>Публичное выступление:</w:t>
            </w:r>
          </w:p>
        </w:tc>
        <w:tc>
          <w:tcPr>
            <w:tcW w:w="1587" w:type="dxa"/>
          </w:tcPr>
          <w:p w:rsidR="003420B5" w:rsidRDefault="003420B5">
            <w:pPr>
              <w:pStyle w:val="ConsPlusNormal"/>
              <w:jc w:val="center"/>
            </w:pPr>
            <w:r>
              <w:t>количественный</w:t>
            </w:r>
          </w:p>
        </w:tc>
        <w:tc>
          <w:tcPr>
            <w:tcW w:w="1644" w:type="dxa"/>
          </w:tcPr>
          <w:p w:rsidR="003420B5" w:rsidRDefault="003420B5">
            <w:pPr>
              <w:pStyle w:val="ConsPlusNormal"/>
              <w:jc w:val="center"/>
            </w:pPr>
            <w:r>
              <w:t>за каждое выступление</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6.1</w:t>
            </w:r>
          </w:p>
        </w:tc>
        <w:tc>
          <w:tcPr>
            <w:tcW w:w="3475" w:type="dxa"/>
          </w:tcPr>
          <w:p w:rsidR="003420B5" w:rsidRDefault="003420B5">
            <w:pPr>
              <w:pStyle w:val="ConsPlusNormal"/>
            </w:pPr>
            <w:r>
              <w:t>на телевидении</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5</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6.2</w:t>
            </w:r>
          </w:p>
        </w:tc>
        <w:tc>
          <w:tcPr>
            <w:tcW w:w="3475" w:type="dxa"/>
          </w:tcPr>
          <w:p w:rsidR="003420B5" w:rsidRDefault="003420B5">
            <w:pPr>
              <w:pStyle w:val="ConsPlusNormal"/>
            </w:pPr>
            <w:r>
              <w:t>на радио</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4</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6.3</w:t>
            </w:r>
          </w:p>
        </w:tc>
        <w:tc>
          <w:tcPr>
            <w:tcW w:w="3475" w:type="dxa"/>
          </w:tcPr>
          <w:p w:rsidR="003420B5" w:rsidRDefault="003420B5">
            <w:pPr>
              <w:pStyle w:val="ConsPlusNormal"/>
            </w:pPr>
            <w:r>
              <w:t>лекция</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3</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6.4</w:t>
            </w:r>
          </w:p>
        </w:tc>
        <w:tc>
          <w:tcPr>
            <w:tcW w:w="3475" w:type="dxa"/>
          </w:tcPr>
          <w:p w:rsidR="003420B5" w:rsidRDefault="003420B5">
            <w:pPr>
              <w:pStyle w:val="ConsPlusNormal"/>
            </w:pPr>
            <w:r>
              <w:t>доклад</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2</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6.5</w:t>
            </w:r>
          </w:p>
        </w:tc>
        <w:tc>
          <w:tcPr>
            <w:tcW w:w="3475" w:type="dxa"/>
          </w:tcPr>
          <w:p w:rsidR="003420B5" w:rsidRDefault="003420B5">
            <w:pPr>
              <w:pStyle w:val="ConsPlusNormal"/>
            </w:pPr>
            <w:r>
              <w:t>сообщение</w:t>
            </w:r>
          </w:p>
        </w:tc>
        <w:tc>
          <w:tcPr>
            <w:tcW w:w="1587" w:type="dxa"/>
          </w:tcPr>
          <w:p w:rsidR="003420B5" w:rsidRDefault="003420B5">
            <w:pPr>
              <w:pStyle w:val="ConsPlusNormal"/>
              <w:jc w:val="center"/>
            </w:pPr>
          </w:p>
        </w:tc>
        <w:tc>
          <w:tcPr>
            <w:tcW w:w="1644" w:type="dxa"/>
          </w:tcPr>
          <w:p w:rsidR="003420B5" w:rsidRDefault="003420B5">
            <w:pPr>
              <w:pStyle w:val="ConsPlusNormal"/>
              <w:jc w:val="center"/>
            </w:pPr>
            <w:r>
              <w:t>1</w:t>
            </w:r>
          </w:p>
        </w:tc>
        <w:tc>
          <w:tcPr>
            <w:tcW w:w="1644" w:type="dxa"/>
          </w:tcPr>
          <w:p w:rsidR="003420B5" w:rsidRDefault="003420B5">
            <w:pPr>
              <w:pStyle w:val="ConsPlusNormal"/>
              <w:jc w:val="center"/>
            </w:pPr>
          </w:p>
        </w:tc>
      </w:tr>
      <w:tr w:rsidR="003420B5">
        <w:tc>
          <w:tcPr>
            <w:tcW w:w="624" w:type="dxa"/>
          </w:tcPr>
          <w:p w:rsidR="003420B5" w:rsidRDefault="003420B5">
            <w:pPr>
              <w:pStyle w:val="ConsPlusNormal"/>
              <w:jc w:val="center"/>
            </w:pPr>
            <w:r>
              <w:t>7</w:t>
            </w:r>
          </w:p>
        </w:tc>
        <w:tc>
          <w:tcPr>
            <w:tcW w:w="3475" w:type="dxa"/>
          </w:tcPr>
          <w:p w:rsidR="003420B5" w:rsidRDefault="003420B5">
            <w:pPr>
              <w:pStyle w:val="ConsPlusNormal"/>
            </w:pPr>
            <w:r>
              <w:t>Иные достижения</w:t>
            </w:r>
          </w:p>
        </w:tc>
        <w:tc>
          <w:tcPr>
            <w:tcW w:w="1587" w:type="dxa"/>
          </w:tcPr>
          <w:p w:rsidR="003420B5" w:rsidRDefault="003420B5">
            <w:pPr>
              <w:pStyle w:val="ConsPlusNormal"/>
              <w:jc w:val="center"/>
            </w:pPr>
            <w:r>
              <w:t>количественный</w:t>
            </w:r>
          </w:p>
        </w:tc>
        <w:tc>
          <w:tcPr>
            <w:tcW w:w="1644" w:type="dxa"/>
          </w:tcPr>
          <w:p w:rsidR="003420B5" w:rsidRDefault="003420B5">
            <w:pPr>
              <w:pStyle w:val="ConsPlusNormal"/>
              <w:jc w:val="center"/>
            </w:pPr>
            <w:r>
              <w:t>за каждое достижение дополнительно по 1 баллу</w:t>
            </w:r>
          </w:p>
        </w:tc>
        <w:tc>
          <w:tcPr>
            <w:tcW w:w="1644" w:type="dxa"/>
          </w:tcPr>
          <w:p w:rsidR="003420B5" w:rsidRDefault="003420B5">
            <w:pPr>
              <w:pStyle w:val="ConsPlusNormal"/>
              <w:jc w:val="center"/>
            </w:pPr>
          </w:p>
        </w:tc>
      </w:tr>
      <w:tr w:rsidR="003420B5">
        <w:tc>
          <w:tcPr>
            <w:tcW w:w="7330" w:type="dxa"/>
            <w:gridSpan w:val="4"/>
          </w:tcPr>
          <w:p w:rsidR="003420B5" w:rsidRDefault="003420B5">
            <w:pPr>
              <w:pStyle w:val="ConsPlusNormal"/>
              <w:jc w:val="center"/>
            </w:pPr>
            <w:r>
              <w:t>Итого (индивидуальный рейтинг претендента)</w:t>
            </w:r>
          </w:p>
        </w:tc>
        <w:tc>
          <w:tcPr>
            <w:tcW w:w="1644" w:type="dxa"/>
          </w:tcPr>
          <w:p w:rsidR="003420B5" w:rsidRDefault="003420B5">
            <w:pPr>
              <w:pStyle w:val="ConsPlusNormal"/>
              <w:jc w:val="center"/>
            </w:pPr>
          </w:p>
        </w:tc>
      </w:tr>
    </w:tbl>
    <w:p w:rsidR="003420B5" w:rsidRDefault="003420B5">
      <w:pPr>
        <w:pStyle w:val="ConsPlusNormal"/>
        <w:jc w:val="center"/>
      </w:pPr>
    </w:p>
    <w:p w:rsidR="003420B5" w:rsidRDefault="003420B5">
      <w:pPr>
        <w:pStyle w:val="ConsPlusNormal"/>
        <w:jc w:val="center"/>
      </w:pPr>
    </w:p>
    <w:p w:rsidR="003420B5" w:rsidRDefault="003420B5">
      <w:pPr>
        <w:pStyle w:val="ConsPlusNormal"/>
        <w:pBdr>
          <w:top w:val="single" w:sz="6" w:space="0" w:color="auto"/>
        </w:pBdr>
        <w:spacing w:before="100" w:after="100"/>
        <w:jc w:val="both"/>
        <w:rPr>
          <w:sz w:val="2"/>
          <w:szCs w:val="2"/>
        </w:rPr>
      </w:pPr>
    </w:p>
    <w:p w:rsidR="00614F08" w:rsidRDefault="003420B5">
      <w:bookmarkStart w:id="7" w:name="_GoBack"/>
      <w:bookmarkEnd w:id="7"/>
    </w:p>
    <w:sectPr w:rsidR="00614F08" w:rsidSect="00D16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0B5"/>
    <w:rsid w:val="003420B5"/>
    <w:rsid w:val="003F342A"/>
    <w:rsid w:val="00E64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20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20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20B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20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20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20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BE0D952A609D9A5DD6C7E1F0CC54D707A15D689FAA906F0FF9772E7B1C6B485F3EB7125BDBE637C6AB21D56F2039C7E564549B517F4266CF3D494f6JCM"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Терентьева Анастасия Юрьевна</dc:creator>
  <cp:lastModifiedBy>Терентьева Анастасия Юрьевна</cp:lastModifiedBy>
  <cp:revision>1</cp:revision>
  <dcterms:created xsi:type="dcterms:W3CDTF">2020-05-19T12:09:00Z</dcterms:created>
  <dcterms:modified xsi:type="dcterms:W3CDTF">2020-05-19T12:09:00Z</dcterms:modified>
</cp:coreProperties>
</file>